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F1" w:rsidRDefault="005E7450">
      <w:pPr>
        <w:spacing w:after="221" w:line="259" w:lineRule="auto"/>
        <w:ind w:left="1741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7232F1" w:rsidRDefault="005D2546" w:rsidP="00F604C4">
      <w:pPr>
        <w:spacing w:after="10" w:line="249" w:lineRule="auto"/>
        <w:ind w:left="180" w:right="0"/>
        <w:jc w:val="center"/>
      </w:pPr>
      <w:r>
        <w:rPr>
          <w:b/>
        </w:rPr>
        <w:t>CÓMITE DE FUTBOL DE LA ASOCIACIÓN DE EX ALUMNOS DEL COLEGIO SANTA CLARA.</w:t>
      </w:r>
    </w:p>
    <w:p w:rsidR="007232F1" w:rsidRDefault="00916504">
      <w:pPr>
        <w:spacing w:after="10" w:line="249" w:lineRule="auto"/>
        <w:ind w:right="0"/>
        <w:jc w:val="left"/>
      </w:pPr>
      <w:r>
        <w:rPr>
          <w:b/>
        </w:rPr>
        <w:t xml:space="preserve">Resolución Nª </w:t>
      </w:r>
      <w:r w:rsidR="00AA4829">
        <w:rPr>
          <w:b/>
        </w:rPr>
        <w:t>04</w:t>
      </w:r>
      <w:r w:rsidR="005E7450">
        <w:rPr>
          <w:b/>
        </w:rPr>
        <w:t>/202</w:t>
      </w:r>
      <w:r w:rsidR="00F85E66">
        <w:rPr>
          <w:b/>
        </w:rPr>
        <w:t>5</w:t>
      </w:r>
      <w:r w:rsidR="005E7450">
        <w:t xml:space="preserve">.-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Default="005E7450" w:rsidP="006B7423">
      <w:pPr>
        <w:ind w:left="0" w:right="0"/>
      </w:pPr>
      <w:r>
        <w:t xml:space="preserve">En la ciudad de Asunción, capital de la </w:t>
      </w:r>
      <w:r w:rsidR="006B7423">
        <w:t xml:space="preserve">república del Paraguay, </w:t>
      </w:r>
      <w:r w:rsidR="008A61FE">
        <w:t xml:space="preserve">a los </w:t>
      </w:r>
      <w:r w:rsidR="00AA4829">
        <w:t>cinco</w:t>
      </w:r>
      <w:r w:rsidR="00CA7677">
        <w:t xml:space="preserve"> días</w:t>
      </w:r>
      <w:r w:rsidR="00465753">
        <w:t xml:space="preserve"> del mes de </w:t>
      </w:r>
      <w:r w:rsidR="00AA4829">
        <w:t>mayo</w:t>
      </w:r>
      <w:r>
        <w:t xml:space="preserve"> del año dos mil </w:t>
      </w:r>
      <w:r w:rsidR="00CA7677">
        <w:t>veinti</w:t>
      </w:r>
      <w:r w:rsidR="00F85E66">
        <w:t>cinco</w:t>
      </w:r>
      <w:r>
        <w:t xml:space="preserve"> estando reunidos </w:t>
      </w:r>
      <w:r w:rsidR="00F72A1A">
        <w:t>los miembros</w:t>
      </w:r>
      <w:r w:rsidR="006B7423">
        <w:t xml:space="preserve"> del </w:t>
      </w:r>
      <w:r w:rsidR="00465753">
        <w:t>Comité</w:t>
      </w:r>
      <w:r w:rsidR="00916504">
        <w:t xml:space="preserve"> de Fú</w:t>
      </w:r>
      <w:r>
        <w:t xml:space="preserve">tbol de </w:t>
      </w:r>
      <w:r w:rsidR="006B7423">
        <w:t>la Asociación de Ex Alumnos del Colegio Santa Clara ADESAC y r</w:t>
      </w:r>
      <w:r w:rsidR="00465753">
        <w:t>ecibid</w:t>
      </w:r>
      <w:r w:rsidR="00AA4829">
        <w:t>o</w:t>
      </w:r>
      <w:r w:rsidR="00F604C4">
        <w:t xml:space="preserve"> </w:t>
      </w:r>
      <w:r w:rsidR="00AA4829">
        <w:t>el correo electrónico enviado por el equipo de Picles Zafados</w:t>
      </w:r>
      <w:r w:rsidR="00AB2ABD">
        <w:t xml:space="preserve"> </w:t>
      </w:r>
      <w:r w:rsidR="006B7423">
        <w:t>se expone cuanto sigue:</w:t>
      </w:r>
    </w:p>
    <w:p w:rsidR="007232F1" w:rsidRDefault="005E7450" w:rsidP="006B7423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Default="005E7450">
      <w:pPr>
        <w:ind w:left="0" w:right="0"/>
      </w:pPr>
      <w:r>
        <w:t xml:space="preserve">Previo estudio de los antecedentes, el </w:t>
      </w:r>
      <w:r w:rsidR="00465753">
        <w:t>Comité</w:t>
      </w:r>
      <w:r>
        <w:t xml:space="preserve"> resuelve plantear lo siguiente</w:t>
      </w:r>
      <w:r w:rsidR="00F604C4">
        <w:t>:</w:t>
      </w:r>
      <w:r>
        <w:t xml:space="preserve"> 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Default="005E7450">
      <w:pPr>
        <w:spacing w:after="0" w:line="249" w:lineRule="auto"/>
        <w:ind w:left="10" w:right="2"/>
        <w:jc w:val="center"/>
      </w:pPr>
      <w:r>
        <w:rPr>
          <w:b/>
        </w:rPr>
        <w:t>CUESTIÓN:</w:t>
      </w:r>
      <w:r>
        <w:t xml:space="preserve">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Pr="00BC1E7F" w:rsidRDefault="00AB2ABD">
      <w:pPr>
        <w:ind w:left="0" w:right="0"/>
        <w:rPr>
          <w:i/>
        </w:rPr>
      </w:pPr>
      <w:r>
        <w:t>Elevado todos los antecedentes</w:t>
      </w:r>
      <w:r w:rsidR="00530FD5">
        <w:t>,</w:t>
      </w:r>
      <w:r>
        <w:t xml:space="preserve"> corresponde analizar la situación planteada</w:t>
      </w:r>
      <w:r w:rsidR="00AA4829">
        <w:t xml:space="preserve">. Picles Zafados, a través de su delegado Hugo Centurión, solicitó la verificación </w:t>
      </w:r>
      <w:r w:rsidR="00F345E3">
        <w:t>de un hecho, que ellos consideran irregular y que se trata</w:t>
      </w:r>
      <w:r w:rsidR="00AA4829">
        <w:t xml:space="preserve"> </w:t>
      </w:r>
      <w:r w:rsidR="00F942CD">
        <w:t>de</w:t>
      </w:r>
      <w:r w:rsidR="00AA4829">
        <w:t xml:space="preserve"> los jugadores que pertenecían al equipo de Niupi, en el año 2024 y que a partir de este año se encuentran disputando el torneo en los equipos de Alemania y Aleti 14</w:t>
      </w:r>
      <w:r w:rsidR="00F345E3">
        <w:t>, respectivamente</w:t>
      </w:r>
      <w:r w:rsidR="00AA4829">
        <w:t xml:space="preserve">. </w:t>
      </w:r>
      <w:r w:rsidR="00F345E3">
        <w:t xml:space="preserve">Es importante señalar que al </w:t>
      </w:r>
      <w:r w:rsidR="00AA4829">
        <w:t xml:space="preserve">final de la temporada 2024, se concretó el descenso de Niupi </w:t>
      </w:r>
      <w:r w:rsidR="00F345E3">
        <w:t>y el equipo tomó la determinación de disolverse y no presentarse más bajo ese nombre, al Exa San</w:t>
      </w:r>
      <w:r w:rsidR="00F942CD">
        <w:t>ta Clara. Lo que nos ocupa</w:t>
      </w:r>
      <w:r w:rsidR="00F345E3">
        <w:t xml:space="preserve"> como Comité, es analizar si corresponde aplicar el artículo 32 o el artículo 37.6.</w:t>
      </w:r>
    </w:p>
    <w:p w:rsidR="007232F1" w:rsidRPr="00BC1E7F" w:rsidRDefault="005E7450">
      <w:pPr>
        <w:spacing w:after="0" w:line="259" w:lineRule="auto"/>
        <w:ind w:left="5" w:right="0" w:firstLine="0"/>
        <w:jc w:val="left"/>
        <w:rPr>
          <w:i/>
        </w:rPr>
      </w:pPr>
      <w:r w:rsidRPr="00BC1E7F">
        <w:rPr>
          <w:i/>
        </w:rPr>
        <w:t xml:space="preserve"> </w:t>
      </w:r>
    </w:p>
    <w:p w:rsidR="007232F1" w:rsidRDefault="00F72A1A" w:rsidP="006B7423">
      <w:pPr>
        <w:spacing w:after="10" w:line="249" w:lineRule="auto"/>
        <w:ind w:right="0"/>
        <w:jc w:val="left"/>
      </w:pPr>
      <w:r>
        <w:t>El Comité</w:t>
      </w:r>
      <w:r w:rsidR="006B7423">
        <w:t xml:space="preserve"> manifiesta lo siguiente:</w:t>
      </w:r>
    </w:p>
    <w:p w:rsidR="006B7423" w:rsidRDefault="006B7423" w:rsidP="006B7423">
      <w:pPr>
        <w:spacing w:after="10" w:line="249" w:lineRule="auto"/>
        <w:ind w:right="0"/>
        <w:jc w:val="left"/>
      </w:pPr>
    </w:p>
    <w:p w:rsidR="007232F1" w:rsidRDefault="005E7450">
      <w:pPr>
        <w:ind w:left="0" w:right="0"/>
      </w:pPr>
      <w:r>
        <w:t xml:space="preserve">Que, analizado los siguientes documentos presentados en ésta causa y otros, a saber: 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BC1E7F" w:rsidRDefault="00F345E3" w:rsidP="00BC1E7F">
      <w:pPr>
        <w:numPr>
          <w:ilvl w:val="0"/>
          <w:numId w:val="1"/>
        </w:numPr>
        <w:ind w:right="0" w:hanging="360"/>
      </w:pPr>
      <w:r>
        <w:t>Correo presentado por Picles Zafados.</w:t>
      </w:r>
      <w:bookmarkStart w:id="0" w:name="_GoBack"/>
      <w:bookmarkEnd w:id="0"/>
    </w:p>
    <w:p w:rsidR="00BC1E7F" w:rsidRDefault="00F345E3" w:rsidP="00BC1E7F">
      <w:pPr>
        <w:numPr>
          <w:ilvl w:val="0"/>
          <w:numId w:val="1"/>
        </w:numPr>
        <w:ind w:right="0" w:hanging="360"/>
      </w:pPr>
      <w:r>
        <w:t>Reglamento vigente.</w:t>
      </w:r>
    </w:p>
    <w:p w:rsidR="007232F1" w:rsidRDefault="007232F1" w:rsidP="00F345E3">
      <w:pPr>
        <w:spacing w:after="0" w:line="259" w:lineRule="auto"/>
        <w:ind w:left="0" w:right="0" w:firstLine="0"/>
        <w:jc w:val="left"/>
      </w:pPr>
    </w:p>
    <w:p w:rsidR="006F5CF9" w:rsidRDefault="00427D75" w:rsidP="00F345E3">
      <w:pPr>
        <w:ind w:left="365" w:right="0" w:firstLine="0"/>
        <w:rPr>
          <w:i/>
        </w:rPr>
      </w:pPr>
      <w:r w:rsidRPr="00530FD5">
        <w:rPr>
          <w:b/>
        </w:rPr>
        <w:t>Manifestamos que</w:t>
      </w:r>
      <w:r>
        <w:t>:</w:t>
      </w:r>
      <w:r w:rsidR="006B60A7">
        <w:t xml:space="preserve"> </w:t>
      </w:r>
      <w:r w:rsidR="00F345E3">
        <w:rPr>
          <w:i/>
        </w:rPr>
        <w:t>Antes de tomar una decisión</w:t>
      </w:r>
      <w:r w:rsidR="00F942CD">
        <w:rPr>
          <w:i/>
        </w:rPr>
        <w:t>,</w:t>
      </w:r>
      <w:r w:rsidR="00F345E3">
        <w:rPr>
          <w:i/>
        </w:rPr>
        <w:t xml:space="preserve"> </w:t>
      </w:r>
      <w:r w:rsidR="00F942CD">
        <w:rPr>
          <w:i/>
        </w:rPr>
        <w:t xml:space="preserve">dejamos asentado que </w:t>
      </w:r>
      <w:r w:rsidR="00F345E3">
        <w:rPr>
          <w:i/>
        </w:rPr>
        <w:t xml:space="preserve">todos los integrantes que pertenecen a la categoría A, se inhibieron, por lo </w:t>
      </w:r>
      <w:r w:rsidR="00F942CD">
        <w:rPr>
          <w:i/>
        </w:rPr>
        <w:t>tanto, ninguno de ellos pudo participar y votar</w:t>
      </w:r>
      <w:r w:rsidR="00F345E3">
        <w:rPr>
          <w:i/>
        </w:rPr>
        <w:t xml:space="preserve"> </w:t>
      </w:r>
      <w:r w:rsidR="00F942CD">
        <w:rPr>
          <w:i/>
        </w:rPr>
        <w:t>en este Caso. Sobre lo planteado, este Comité, con sus integrantes habilitados, considera de forma unánime que el articulo 32 prevalece sobre el artículo 37.6</w:t>
      </w:r>
      <w:r w:rsidR="00F345E3">
        <w:rPr>
          <w:i/>
        </w:rPr>
        <w:t>.</w:t>
      </w:r>
      <w:r w:rsidR="00F942CD">
        <w:rPr>
          <w:i/>
        </w:rPr>
        <w:t xml:space="preserve"> El articulo 32 refiere que: “</w:t>
      </w:r>
      <w:r w:rsidR="00F942CD" w:rsidRPr="00516A1D">
        <w:rPr>
          <w:i/>
        </w:rPr>
        <w:t>En caso de que un equipo se disuelva, los jugadores registrados en la lista de buena fe del último torneo disputado,</w:t>
      </w:r>
      <w:r w:rsidR="00F942CD" w:rsidRPr="00F942CD">
        <w:rPr>
          <w:b/>
          <w:i/>
        </w:rPr>
        <w:t xml:space="preserve"> </w:t>
      </w:r>
      <w:r w:rsidR="00F942CD" w:rsidRPr="00516A1D">
        <w:rPr>
          <w:b/>
          <w:i/>
          <w:u w:val="single"/>
        </w:rPr>
        <w:t>podrán reforzar otros equipos de cualquier categoría con un límite de hasta 2 (dos) jugadores del equipo disuelto</w:t>
      </w:r>
      <w:r w:rsidR="00F942CD" w:rsidRPr="00F942CD">
        <w:rPr>
          <w:b/>
          <w:i/>
        </w:rPr>
        <w:t>”</w:t>
      </w:r>
      <w:r w:rsidR="00F942CD">
        <w:rPr>
          <w:i/>
        </w:rPr>
        <w:t xml:space="preserve"> </w:t>
      </w:r>
      <w:r w:rsidR="004E3A90">
        <w:rPr>
          <w:i/>
        </w:rPr>
        <w:t>Basándonos en este artículo, c</w:t>
      </w:r>
      <w:r w:rsidR="00F942CD">
        <w:rPr>
          <w:i/>
        </w:rPr>
        <w:t>oncluimos que la única forma de liberarte del descenso individu</w:t>
      </w:r>
      <w:r w:rsidR="00D31042">
        <w:rPr>
          <w:i/>
        </w:rPr>
        <w:t>al es que el equipo se disuelva</w:t>
      </w:r>
      <w:r w:rsidR="00F942CD">
        <w:rPr>
          <w:i/>
        </w:rPr>
        <w:t xml:space="preserve">. </w:t>
      </w:r>
      <w:r w:rsidR="00D31042">
        <w:rPr>
          <w:i/>
        </w:rPr>
        <w:t>Es importante señalar que tanto Alemania como Aleti 14, no superan el tope máximo de jugadores provenientes del equipo disuelto, es decir,</w:t>
      </w:r>
      <w:r w:rsidR="004E3A90">
        <w:rPr>
          <w:i/>
        </w:rPr>
        <w:t xml:space="preserve"> hasta dos jugadores, cumpliéndose así todo lo exigido por el articulo 32.</w:t>
      </w:r>
    </w:p>
    <w:p w:rsidR="00D31042" w:rsidRDefault="00D31042" w:rsidP="00F345E3">
      <w:pPr>
        <w:ind w:left="365" w:right="0" w:firstLine="0"/>
        <w:rPr>
          <w:i/>
        </w:rPr>
      </w:pPr>
    </w:p>
    <w:p w:rsidR="004E3A90" w:rsidRDefault="004E3A90" w:rsidP="00F345E3">
      <w:pPr>
        <w:ind w:left="365" w:right="0" w:firstLine="0"/>
        <w:rPr>
          <w:i/>
        </w:rPr>
      </w:pPr>
    </w:p>
    <w:p w:rsidR="004E3A90" w:rsidRPr="00530FD5" w:rsidRDefault="004E3A90" w:rsidP="00F345E3">
      <w:pPr>
        <w:ind w:left="365" w:right="0" w:firstLine="0"/>
        <w:rPr>
          <w:i/>
        </w:rPr>
      </w:pPr>
    </w:p>
    <w:p w:rsidR="006B60A7" w:rsidRPr="00530FD5" w:rsidRDefault="006B60A7" w:rsidP="006B60A7">
      <w:pPr>
        <w:spacing w:after="0" w:line="249" w:lineRule="auto"/>
        <w:ind w:left="10" w:right="0"/>
        <w:rPr>
          <w:i/>
        </w:rPr>
      </w:pPr>
    </w:p>
    <w:p w:rsidR="00916504" w:rsidRDefault="00916504" w:rsidP="00F85E66">
      <w:pPr>
        <w:spacing w:after="0" w:line="249" w:lineRule="auto"/>
        <w:ind w:left="0" w:right="0" w:firstLine="0"/>
      </w:pPr>
    </w:p>
    <w:p w:rsidR="00916504" w:rsidRDefault="00916504" w:rsidP="00F85E66">
      <w:pPr>
        <w:spacing w:after="0" w:line="249" w:lineRule="auto"/>
        <w:ind w:left="0" w:right="0" w:firstLine="0"/>
      </w:pPr>
    </w:p>
    <w:p w:rsidR="00354B2E" w:rsidRDefault="00F604C4" w:rsidP="00916504">
      <w:pPr>
        <w:spacing w:after="0" w:line="249" w:lineRule="auto"/>
        <w:ind w:left="10" w:right="0"/>
        <w:jc w:val="center"/>
      </w:pPr>
      <w:r>
        <w:t>En vista a todo lo manifestado:</w:t>
      </w:r>
    </w:p>
    <w:p w:rsidR="00354B2E" w:rsidRDefault="00354B2E" w:rsidP="00354B2E">
      <w:pPr>
        <w:spacing w:after="0" w:line="249" w:lineRule="auto"/>
        <w:ind w:left="10" w:right="0"/>
        <w:rPr>
          <w:b/>
        </w:rPr>
      </w:pPr>
    </w:p>
    <w:p w:rsidR="00F604C4" w:rsidRDefault="005D2546" w:rsidP="00F604C4">
      <w:pPr>
        <w:spacing w:after="0" w:line="249" w:lineRule="auto"/>
        <w:ind w:left="10" w:right="0"/>
        <w:jc w:val="center"/>
        <w:rPr>
          <w:b/>
        </w:rPr>
      </w:pPr>
      <w:r>
        <w:rPr>
          <w:b/>
        </w:rPr>
        <w:t>EL COMITÉ DE FUTBOL</w:t>
      </w:r>
    </w:p>
    <w:p w:rsidR="007232F1" w:rsidRDefault="005E7450">
      <w:pPr>
        <w:spacing w:after="0" w:line="249" w:lineRule="auto"/>
        <w:ind w:left="1192" w:right="1124"/>
        <w:jc w:val="center"/>
      </w:pPr>
      <w:r>
        <w:rPr>
          <w:b/>
        </w:rPr>
        <w:t xml:space="preserve"> RESUELVE: </w:t>
      </w:r>
    </w:p>
    <w:p w:rsidR="007232F1" w:rsidRDefault="005E7450" w:rsidP="00F85E66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7232F1" w:rsidRPr="00B74A94" w:rsidRDefault="00D31042">
      <w:pPr>
        <w:numPr>
          <w:ilvl w:val="0"/>
          <w:numId w:val="3"/>
        </w:numPr>
        <w:spacing w:after="10" w:line="249" w:lineRule="auto"/>
        <w:ind w:right="0" w:hanging="360"/>
        <w:jc w:val="left"/>
        <w:rPr>
          <w:b/>
        </w:rPr>
      </w:pPr>
      <w:r>
        <w:rPr>
          <w:b/>
        </w:rPr>
        <w:t xml:space="preserve">TENER </w:t>
      </w:r>
      <w:r w:rsidR="004E3A90">
        <w:t>por presentada</w:t>
      </w:r>
      <w:r>
        <w:t xml:space="preserve"> la solicitud de Picles Zafados</w:t>
      </w:r>
      <w:r w:rsidR="00530FD5">
        <w:t>.</w:t>
      </w:r>
    </w:p>
    <w:p w:rsidR="006F5CF9" w:rsidRPr="004E3A90" w:rsidRDefault="00D31042" w:rsidP="004E3A90">
      <w:pPr>
        <w:numPr>
          <w:ilvl w:val="0"/>
          <w:numId w:val="3"/>
        </w:numPr>
        <w:spacing w:after="10" w:line="249" w:lineRule="auto"/>
        <w:ind w:right="0" w:hanging="360"/>
        <w:jc w:val="left"/>
        <w:rPr>
          <w:b/>
        </w:rPr>
      </w:pPr>
      <w:r>
        <w:rPr>
          <w:b/>
        </w:rPr>
        <w:t>ACLARAR</w:t>
      </w:r>
      <w:r w:rsidR="00B74A94">
        <w:rPr>
          <w:b/>
        </w:rPr>
        <w:t xml:space="preserve"> </w:t>
      </w:r>
      <w:r>
        <w:t>que al concretarse la disolución de Niupi, esto habilitó a sus jugadores a reforzar a otros equipos, de cualquier categoría, cumpliendo lo exigido en el artículo 32 del reglamento vigente.</w:t>
      </w:r>
    </w:p>
    <w:p w:rsidR="007232F1" w:rsidRPr="005D2546" w:rsidRDefault="005E7450">
      <w:pPr>
        <w:numPr>
          <w:ilvl w:val="0"/>
          <w:numId w:val="3"/>
        </w:numPr>
        <w:spacing w:after="10" w:line="249" w:lineRule="auto"/>
        <w:ind w:right="0" w:hanging="360"/>
        <w:jc w:val="left"/>
      </w:pPr>
      <w:r>
        <w:rPr>
          <w:b/>
        </w:rPr>
        <w:t xml:space="preserve">COMUNÍQUESE </w:t>
      </w:r>
      <w:r>
        <w:t>y archívese.</w:t>
      </w:r>
      <w:r>
        <w:rPr>
          <w:b/>
        </w:rPr>
        <w:t xml:space="preserve"> </w:t>
      </w:r>
    </w:p>
    <w:p w:rsidR="005D2546" w:rsidRDefault="005D2546" w:rsidP="006F5CF9">
      <w:pPr>
        <w:spacing w:after="10" w:line="249" w:lineRule="auto"/>
        <w:ind w:left="0" w:right="0" w:firstLine="0"/>
        <w:jc w:val="left"/>
      </w:pPr>
    </w:p>
    <w:p w:rsidR="00794DE3" w:rsidRPr="004E3A90" w:rsidRDefault="005D2546" w:rsidP="004E3A90">
      <w:pPr>
        <w:spacing w:after="10" w:line="249" w:lineRule="auto"/>
        <w:ind w:left="718" w:right="0"/>
        <w:jc w:val="center"/>
      </w:pPr>
      <w:r>
        <w:t>FIRMANDO AL PIE TODOS LOS MIEMBROS DEL COMITÉ.</w:t>
      </w:r>
    </w:p>
    <w:p w:rsidR="00794DE3" w:rsidRPr="00794DE3" w:rsidRDefault="00794DE3" w:rsidP="00916504">
      <w:pPr>
        <w:spacing w:after="0" w:line="258" w:lineRule="auto"/>
        <w:ind w:left="10" w:right="57"/>
        <w:jc w:val="center"/>
        <w:rPr>
          <w:b/>
          <w:szCs w:val="24"/>
        </w:rPr>
      </w:pP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JUAN VILLATE</w:t>
      </w: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MATIAS GODOY</w:t>
      </w: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RAIMUNDO CABRERA</w:t>
      </w:r>
    </w:p>
    <w:p w:rsidR="007232F1" w:rsidRPr="006F5CF9" w:rsidRDefault="006F5CF9" w:rsidP="006F5CF9">
      <w:pPr>
        <w:spacing w:after="0" w:line="258" w:lineRule="auto"/>
        <w:ind w:left="10" w:right="57"/>
        <w:jc w:val="center"/>
        <w:rPr>
          <w:szCs w:val="24"/>
        </w:rPr>
      </w:pPr>
      <w:r>
        <w:rPr>
          <w:b/>
          <w:szCs w:val="24"/>
        </w:rPr>
        <w:t>EMILIO CORRALES</w:t>
      </w:r>
    </w:p>
    <w:sectPr w:rsidR="007232F1" w:rsidRPr="006F5CF9">
      <w:headerReference w:type="even" r:id="rId7"/>
      <w:headerReference w:type="default" r:id="rId8"/>
      <w:headerReference w:type="first" r:id="rId9"/>
      <w:pgSz w:w="11906" w:h="16838"/>
      <w:pgMar w:top="1421" w:right="1691" w:bottom="1621" w:left="1697" w:header="16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91" w:rsidRDefault="00BB6091">
      <w:pPr>
        <w:spacing w:after="0" w:line="240" w:lineRule="auto"/>
      </w:pPr>
      <w:r>
        <w:separator/>
      </w:r>
    </w:p>
  </w:endnote>
  <w:endnote w:type="continuationSeparator" w:id="0">
    <w:p w:rsidR="00BB6091" w:rsidRDefault="00BB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91" w:rsidRDefault="00BB6091">
      <w:pPr>
        <w:spacing w:after="0" w:line="240" w:lineRule="auto"/>
      </w:pPr>
      <w:r>
        <w:separator/>
      </w:r>
    </w:p>
  </w:footnote>
  <w:footnote w:type="continuationSeparator" w:id="0">
    <w:p w:rsidR="00BB6091" w:rsidRDefault="00BB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F1" w:rsidRDefault="005E7450">
    <w:pPr>
      <w:spacing w:after="0" w:line="259" w:lineRule="auto"/>
      <w:ind w:left="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4803140</wp:posOffset>
          </wp:positionH>
          <wp:positionV relativeFrom="page">
            <wp:posOffset>580390</wp:posOffset>
          </wp:positionV>
          <wp:extent cx="1667383" cy="31369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104775</wp:posOffset>
          </wp:positionV>
          <wp:extent cx="876046" cy="8699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046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:rsidR="007232F1" w:rsidRDefault="005E7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902" name="Group 3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9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F1" w:rsidRDefault="005D2546">
    <w:pPr>
      <w:spacing w:after="0" w:line="259" w:lineRule="auto"/>
      <w:ind w:left="4" w:right="0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459D29A6" wp14:editId="39538C43">
          <wp:simplePos x="0" y="0"/>
          <wp:positionH relativeFrom="margin">
            <wp:align>left</wp:align>
          </wp:positionH>
          <wp:positionV relativeFrom="topMargin">
            <wp:posOffset>295275</wp:posOffset>
          </wp:positionV>
          <wp:extent cx="875665" cy="608965"/>
          <wp:effectExtent l="0" t="0" r="635" b="635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665" cy="6089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7450">
      <w:rPr>
        <w:noProof/>
      </w:rPr>
      <w:drawing>
        <wp:anchor distT="0" distB="0" distL="114300" distR="114300" simplePos="0" relativeHeight="251661312" behindDoc="0" locked="0" layoutInCell="1" allowOverlap="0" wp14:anchorId="0303FD29" wp14:editId="4B13B768">
          <wp:simplePos x="0" y="0"/>
          <wp:positionH relativeFrom="page">
            <wp:posOffset>4803140</wp:posOffset>
          </wp:positionH>
          <wp:positionV relativeFrom="page">
            <wp:posOffset>580390</wp:posOffset>
          </wp:positionV>
          <wp:extent cx="1667383" cy="31369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7450">
      <w:tab/>
      <w:t xml:space="preserve"> </w:t>
    </w:r>
  </w:p>
  <w:p w:rsidR="007232F1" w:rsidRDefault="005E7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890" name="Group 3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F0C8E5C" id="Group 3890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8fUvq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F1" w:rsidRDefault="005E7450">
    <w:pPr>
      <w:spacing w:after="0" w:line="259" w:lineRule="auto"/>
      <w:ind w:left="4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4803140</wp:posOffset>
          </wp:positionH>
          <wp:positionV relativeFrom="page">
            <wp:posOffset>580390</wp:posOffset>
          </wp:positionV>
          <wp:extent cx="1667383" cy="313690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104775</wp:posOffset>
          </wp:positionV>
          <wp:extent cx="876046" cy="8699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046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:rsidR="007232F1" w:rsidRDefault="005E7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878" name="Group 38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87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325A"/>
    <w:multiLevelType w:val="hybridMultilevel"/>
    <w:tmpl w:val="DA0CB1E8"/>
    <w:lvl w:ilvl="0" w:tplc="9CD2B16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C41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826A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01AF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48AB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4BD0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4CA8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C58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C6D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41FCC"/>
    <w:multiLevelType w:val="hybridMultilevel"/>
    <w:tmpl w:val="F69A0C8C"/>
    <w:lvl w:ilvl="0" w:tplc="C1C41002">
      <w:start w:val="1"/>
      <w:numFmt w:val="lowerLetter"/>
      <w:lvlText w:val="%1)"/>
      <w:lvlJc w:val="left"/>
      <w:pPr>
        <w:ind w:left="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C92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EA0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625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C25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893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8E1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4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2DA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479DB"/>
    <w:multiLevelType w:val="hybridMultilevel"/>
    <w:tmpl w:val="1AD6E7EE"/>
    <w:lvl w:ilvl="0" w:tplc="4B3A7A2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8780A">
      <w:start w:val="1"/>
      <w:numFmt w:val="lowerLetter"/>
      <w:lvlText w:val="%2"/>
      <w:lvlJc w:val="left"/>
      <w:pPr>
        <w:ind w:left="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EAC5A">
      <w:start w:val="1"/>
      <w:numFmt w:val="lowerRoman"/>
      <w:lvlText w:val="%3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4103A">
      <w:start w:val="1"/>
      <w:numFmt w:val="decimal"/>
      <w:lvlText w:val="%4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28186">
      <w:start w:val="1"/>
      <w:numFmt w:val="lowerLetter"/>
      <w:lvlText w:val="%5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684E0">
      <w:start w:val="1"/>
      <w:numFmt w:val="lowerRoman"/>
      <w:lvlText w:val="%6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287EC">
      <w:start w:val="1"/>
      <w:numFmt w:val="decimal"/>
      <w:lvlText w:val="%7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2C276">
      <w:start w:val="1"/>
      <w:numFmt w:val="lowerLetter"/>
      <w:lvlText w:val="%8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4DCAA">
      <w:start w:val="1"/>
      <w:numFmt w:val="lowerRoman"/>
      <w:lvlText w:val="%9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FC178B"/>
    <w:multiLevelType w:val="hybridMultilevel"/>
    <w:tmpl w:val="BC8E03D0"/>
    <w:lvl w:ilvl="0" w:tplc="7CBA475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EAB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CD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1A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81D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4A1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A08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00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0C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1"/>
    <w:rsid w:val="00011785"/>
    <w:rsid w:val="00041B37"/>
    <w:rsid w:val="0005742C"/>
    <w:rsid w:val="00072193"/>
    <w:rsid w:val="000A6A36"/>
    <w:rsid w:val="000B43C4"/>
    <w:rsid w:val="000C4288"/>
    <w:rsid w:val="001078E2"/>
    <w:rsid w:val="00141539"/>
    <w:rsid w:val="001538AA"/>
    <w:rsid w:val="001715BA"/>
    <w:rsid w:val="001726B6"/>
    <w:rsid w:val="001A7BE8"/>
    <w:rsid w:val="001B4AE1"/>
    <w:rsid w:val="001C5B70"/>
    <w:rsid w:val="00212ABE"/>
    <w:rsid w:val="002723D5"/>
    <w:rsid w:val="0028500B"/>
    <w:rsid w:val="00287EAA"/>
    <w:rsid w:val="002923E4"/>
    <w:rsid w:val="002A60E0"/>
    <w:rsid w:val="00314D80"/>
    <w:rsid w:val="003168C7"/>
    <w:rsid w:val="00322675"/>
    <w:rsid w:val="00323005"/>
    <w:rsid w:val="00334A71"/>
    <w:rsid w:val="00351725"/>
    <w:rsid w:val="00351EF1"/>
    <w:rsid w:val="00354B2E"/>
    <w:rsid w:val="00386586"/>
    <w:rsid w:val="00387A52"/>
    <w:rsid w:val="003C2281"/>
    <w:rsid w:val="003C7F2D"/>
    <w:rsid w:val="00427D75"/>
    <w:rsid w:val="00450D01"/>
    <w:rsid w:val="00463669"/>
    <w:rsid w:val="00465753"/>
    <w:rsid w:val="00471181"/>
    <w:rsid w:val="00472F3C"/>
    <w:rsid w:val="004C45FC"/>
    <w:rsid w:val="004C5E68"/>
    <w:rsid w:val="004E3A90"/>
    <w:rsid w:val="004E780C"/>
    <w:rsid w:val="00501BFF"/>
    <w:rsid w:val="00510FC3"/>
    <w:rsid w:val="00516A1D"/>
    <w:rsid w:val="00527ED4"/>
    <w:rsid w:val="00530FD5"/>
    <w:rsid w:val="005464A8"/>
    <w:rsid w:val="005B41A7"/>
    <w:rsid w:val="005D1D9C"/>
    <w:rsid w:val="005D2546"/>
    <w:rsid w:val="005E7450"/>
    <w:rsid w:val="00621232"/>
    <w:rsid w:val="00641855"/>
    <w:rsid w:val="006556A5"/>
    <w:rsid w:val="00655750"/>
    <w:rsid w:val="0065629D"/>
    <w:rsid w:val="00674E35"/>
    <w:rsid w:val="006771BC"/>
    <w:rsid w:val="00692149"/>
    <w:rsid w:val="006B60A7"/>
    <w:rsid w:val="006B7423"/>
    <w:rsid w:val="006F5177"/>
    <w:rsid w:val="006F5CF9"/>
    <w:rsid w:val="007043A1"/>
    <w:rsid w:val="007232F1"/>
    <w:rsid w:val="00726C3B"/>
    <w:rsid w:val="00735743"/>
    <w:rsid w:val="007413F3"/>
    <w:rsid w:val="00773726"/>
    <w:rsid w:val="00781E3C"/>
    <w:rsid w:val="00794DE3"/>
    <w:rsid w:val="007A450B"/>
    <w:rsid w:val="007C6681"/>
    <w:rsid w:val="007E6CB8"/>
    <w:rsid w:val="007F4DE0"/>
    <w:rsid w:val="00804204"/>
    <w:rsid w:val="0082366E"/>
    <w:rsid w:val="00832026"/>
    <w:rsid w:val="00833CF9"/>
    <w:rsid w:val="00837B6C"/>
    <w:rsid w:val="0088158C"/>
    <w:rsid w:val="00884D51"/>
    <w:rsid w:val="008929D1"/>
    <w:rsid w:val="00893ED1"/>
    <w:rsid w:val="008A61FE"/>
    <w:rsid w:val="008E5C32"/>
    <w:rsid w:val="00916504"/>
    <w:rsid w:val="00952752"/>
    <w:rsid w:val="00984915"/>
    <w:rsid w:val="009967CB"/>
    <w:rsid w:val="009B4799"/>
    <w:rsid w:val="009C146F"/>
    <w:rsid w:val="009C1553"/>
    <w:rsid w:val="009F507B"/>
    <w:rsid w:val="00A06D18"/>
    <w:rsid w:val="00A613B0"/>
    <w:rsid w:val="00A65A06"/>
    <w:rsid w:val="00A82388"/>
    <w:rsid w:val="00AA4829"/>
    <w:rsid w:val="00AB2ABD"/>
    <w:rsid w:val="00B05778"/>
    <w:rsid w:val="00B11F62"/>
    <w:rsid w:val="00B4115F"/>
    <w:rsid w:val="00B45838"/>
    <w:rsid w:val="00B45F17"/>
    <w:rsid w:val="00B65ECB"/>
    <w:rsid w:val="00B74A94"/>
    <w:rsid w:val="00B912EE"/>
    <w:rsid w:val="00B96072"/>
    <w:rsid w:val="00BA269D"/>
    <w:rsid w:val="00BB2EA3"/>
    <w:rsid w:val="00BB6091"/>
    <w:rsid w:val="00BC1E7F"/>
    <w:rsid w:val="00BC5503"/>
    <w:rsid w:val="00BE5128"/>
    <w:rsid w:val="00C10115"/>
    <w:rsid w:val="00C16CEB"/>
    <w:rsid w:val="00C24924"/>
    <w:rsid w:val="00C30C67"/>
    <w:rsid w:val="00C37618"/>
    <w:rsid w:val="00C41982"/>
    <w:rsid w:val="00C873F6"/>
    <w:rsid w:val="00CA7677"/>
    <w:rsid w:val="00CD1906"/>
    <w:rsid w:val="00D027B5"/>
    <w:rsid w:val="00D12C9F"/>
    <w:rsid w:val="00D1481F"/>
    <w:rsid w:val="00D31042"/>
    <w:rsid w:val="00D37934"/>
    <w:rsid w:val="00D45CC6"/>
    <w:rsid w:val="00D66E4C"/>
    <w:rsid w:val="00D72F73"/>
    <w:rsid w:val="00D77538"/>
    <w:rsid w:val="00DA5306"/>
    <w:rsid w:val="00DB24A9"/>
    <w:rsid w:val="00DD36A3"/>
    <w:rsid w:val="00DE3490"/>
    <w:rsid w:val="00E25F32"/>
    <w:rsid w:val="00E57DB4"/>
    <w:rsid w:val="00E62166"/>
    <w:rsid w:val="00E70D51"/>
    <w:rsid w:val="00E70FA8"/>
    <w:rsid w:val="00E71F73"/>
    <w:rsid w:val="00E90BEC"/>
    <w:rsid w:val="00EE70C2"/>
    <w:rsid w:val="00EF4ECD"/>
    <w:rsid w:val="00EF7EBF"/>
    <w:rsid w:val="00F02A57"/>
    <w:rsid w:val="00F139CE"/>
    <w:rsid w:val="00F345E3"/>
    <w:rsid w:val="00F45039"/>
    <w:rsid w:val="00F52F48"/>
    <w:rsid w:val="00F604C4"/>
    <w:rsid w:val="00F72A1A"/>
    <w:rsid w:val="00F73845"/>
    <w:rsid w:val="00F73E28"/>
    <w:rsid w:val="00F85E66"/>
    <w:rsid w:val="00F942CD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04C25-6C62-4FFC-8D28-7AA8ABC4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5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B2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ABD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5D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Juanvi</dc:creator>
  <cp:keywords/>
  <cp:lastModifiedBy>Usuario de Windows</cp:lastModifiedBy>
  <cp:revision>3</cp:revision>
  <cp:lastPrinted>2024-05-29T12:54:00Z</cp:lastPrinted>
  <dcterms:created xsi:type="dcterms:W3CDTF">2025-05-05T17:23:00Z</dcterms:created>
  <dcterms:modified xsi:type="dcterms:W3CDTF">2025-05-05T17:37:00Z</dcterms:modified>
</cp:coreProperties>
</file>