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0A" w:rsidRDefault="00D149B6">
      <w:pPr>
        <w:spacing w:after="0" w:line="259" w:lineRule="auto"/>
        <w:ind w:left="45" w:right="0" w:firstLine="0"/>
        <w:jc w:val="left"/>
      </w:pPr>
      <w:r>
        <w:rPr>
          <w:b/>
        </w:rPr>
        <w:t xml:space="preserve"> </w:t>
      </w:r>
      <w:r>
        <w:t xml:space="preserve">   </w:t>
      </w:r>
    </w:p>
    <w:p w:rsidR="006A720A" w:rsidRDefault="00D149B6">
      <w:pPr>
        <w:spacing w:after="4" w:line="256" w:lineRule="auto"/>
        <w:ind w:left="-5" w:right="0"/>
        <w:jc w:val="left"/>
      </w:pPr>
      <w:r>
        <w:rPr>
          <w:b/>
        </w:rPr>
        <w:t xml:space="preserve">TRIBUNAL DE DISCIPLINA DE LA ASOCIACION DE EX ALUMNOS DEL </w:t>
      </w:r>
      <w:r>
        <w:t xml:space="preserve">   </w:t>
      </w:r>
    </w:p>
    <w:p w:rsidR="006A720A" w:rsidRDefault="00D149B6">
      <w:pPr>
        <w:spacing w:after="4" w:line="256" w:lineRule="auto"/>
        <w:ind w:left="-5" w:right="0"/>
        <w:jc w:val="left"/>
      </w:pPr>
      <w:r>
        <w:rPr>
          <w:b/>
        </w:rPr>
        <w:t xml:space="preserve">COLEGIO SANTA CLARA </w:t>
      </w:r>
      <w:r>
        <w:t xml:space="preserve">   </w:t>
      </w:r>
    </w:p>
    <w:p w:rsidR="006A720A" w:rsidRDefault="00D149B6">
      <w:pPr>
        <w:spacing w:after="27" w:line="259" w:lineRule="auto"/>
        <w:ind w:left="45" w:right="0" w:firstLine="0"/>
        <w:jc w:val="left"/>
      </w:pPr>
      <w:r>
        <w:rPr>
          <w:b/>
        </w:rPr>
        <w:t xml:space="preserve"> </w:t>
      </w:r>
      <w:r>
        <w:t xml:space="preserve">   </w:t>
      </w:r>
    </w:p>
    <w:p w:rsidR="006A720A" w:rsidRDefault="00D149B6">
      <w:pPr>
        <w:tabs>
          <w:tab w:val="center" w:pos="5273"/>
        </w:tabs>
        <w:spacing w:after="4" w:line="256" w:lineRule="auto"/>
        <w:ind w:left="-15" w:right="0" w:firstLine="0"/>
        <w:jc w:val="left"/>
      </w:pPr>
      <w:r>
        <w:rPr>
          <w:b/>
        </w:rPr>
        <w:t>Resolución N° 07/2025</w:t>
      </w:r>
      <w:r>
        <w:t xml:space="preserve">.-    </w:t>
      </w:r>
      <w:r>
        <w:tab/>
        <w:t xml:space="preserve">    </w:t>
      </w:r>
    </w:p>
    <w:p w:rsidR="006A720A" w:rsidRDefault="00D149B6">
      <w:pPr>
        <w:spacing w:after="0" w:line="259" w:lineRule="auto"/>
        <w:ind w:left="45" w:right="0" w:firstLine="0"/>
        <w:jc w:val="left"/>
      </w:pPr>
      <w:r>
        <w:t xml:space="preserve">    </w:t>
      </w:r>
    </w:p>
    <w:p w:rsidR="006A720A" w:rsidRDefault="00D149B6">
      <w:pPr>
        <w:ind w:left="10" w:right="3"/>
      </w:pPr>
      <w:r>
        <w:t xml:space="preserve">En la ciudad de Asunción, capital de la república del Paraguay, a los veintiocho días del mes de agosto </w:t>
      </w:r>
      <w:r>
        <w:t xml:space="preserve">del año dos mil veinticinco estando reunidos los miembros titulares del Tribunal Disciplinario, del Torneo de Fútbol de la Asociación de Ex Alumnos del Colegio Santa Clara ADESAC, </w:t>
      </w:r>
      <w:r>
        <w:rPr>
          <w:b/>
        </w:rPr>
        <w:t xml:space="preserve">Jorge Román, Humberto </w:t>
      </w:r>
      <w:proofErr w:type="spellStart"/>
      <w:r>
        <w:rPr>
          <w:b/>
        </w:rPr>
        <w:t>Osnaghi</w:t>
      </w:r>
      <w:proofErr w:type="spellEnd"/>
      <w:r>
        <w:rPr>
          <w:b/>
        </w:rPr>
        <w:t xml:space="preserve"> y Álvaro </w:t>
      </w:r>
      <w:proofErr w:type="spellStart"/>
      <w:r>
        <w:rPr>
          <w:b/>
        </w:rPr>
        <w:t>Gahete</w:t>
      </w:r>
      <w:proofErr w:type="spellEnd"/>
      <w:r>
        <w:rPr>
          <w:b/>
        </w:rPr>
        <w:t>.</w:t>
      </w:r>
      <w:r>
        <w:t xml:space="preserve">    </w:t>
      </w:r>
    </w:p>
    <w:p w:rsidR="006A720A" w:rsidRDefault="00D149B6">
      <w:pPr>
        <w:spacing w:after="0" w:line="259" w:lineRule="auto"/>
        <w:ind w:left="45" w:right="0" w:firstLine="0"/>
        <w:jc w:val="left"/>
      </w:pPr>
      <w:r>
        <w:t xml:space="preserve">    </w:t>
      </w:r>
    </w:p>
    <w:p w:rsidR="006A720A" w:rsidRDefault="00D149B6">
      <w:pPr>
        <w:ind w:left="10" w:right="3"/>
      </w:pPr>
      <w:r>
        <w:t>Recibidas la denunci</w:t>
      </w:r>
      <w:r>
        <w:t xml:space="preserve">a presentada por Xeneizes, la planilla de juego con el informe arbitral, el informe de la mesa de veedores, materiales audiovisuales y el descargo de Liverpool, se analiza el hecho que lo involucra y se expone cuanto sigue:    </w:t>
      </w:r>
    </w:p>
    <w:p w:rsidR="006A720A" w:rsidRDefault="00D149B6">
      <w:pPr>
        <w:spacing w:after="0" w:line="259" w:lineRule="auto"/>
        <w:ind w:left="45" w:right="0" w:firstLine="0"/>
        <w:jc w:val="left"/>
      </w:pPr>
      <w:r>
        <w:t xml:space="preserve">    </w:t>
      </w:r>
    </w:p>
    <w:p w:rsidR="006A720A" w:rsidRDefault="00D149B6">
      <w:pPr>
        <w:ind w:left="10" w:right="3"/>
      </w:pPr>
      <w:r>
        <w:t>Previo estudio de los a</w:t>
      </w:r>
      <w:r>
        <w:t xml:space="preserve">ntecedentes, el Tribunal resuelve plantear lo siguiente     </w:t>
      </w:r>
    </w:p>
    <w:p w:rsidR="006A720A" w:rsidRDefault="00D149B6">
      <w:pPr>
        <w:spacing w:after="0" w:line="259" w:lineRule="auto"/>
        <w:ind w:left="45" w:right="0" w:firstLine="0"/>
        <w:jc w:val="left"/>
      </w:pPr>
      <w:r>
        <w:t xml:space="preserve">    </w:t>
      </w:r>
    </w:p>
    <w:p w:rsidR="006A720A" w:rsidRDefault="00D149B6">
      <w:pPr>
        <w:spacing w:after="6" w:line="257" w:lineRule="auto"/>
        <w:ind w:left="83" w:right="46"/>
        <w:jc w:val="center"/>
      </w:pPr>
      <w:r>
        <w:rPr>
          <w:b/>
        </w:rPr>
        <w:t>CUESTIÓN:</w:t>
      </w:r>
      <w:r>
        <w:t xml:space="preserve">    </w:t>
      </w:r>
    </w:p>
    <w:p w:rsidR="006A720A" w:rsidRDefault="00D149B6">
      <w:pPr>
        <w:spacing w:after="0" w:line="259" w:lineRule="auto"/>
        <w:ind w:left="45" w:right="0" w:firstLine="0"/>
        <w:jc w:val="left"/>
      </w:pPr>
      <w:r>
        <w:t xml:space="preserve">    </w:t>
      </w:r>
    </w:p>
    <w:p w:rsidR="006A720A" w:rsidRDefault="00D149B6">
      <w:pPr>
        <w:ind w:left="10" w:right="3"/>
      </w:pPr>
      <w:r>
        <w:t>Elevado todos los antecedentes, es oportuno analizar la situación planteada. En el partido disputado entre los equipos de Xeneizes y Liverpool, correspondiente a la segund</w:t>
      </w:r>
      <w:r>
        <w:t xml:space="preserve">a fecha del torneo Clausura 2025, el jugador identificado como Guillermo </w:t>
      </w:r>
      <w:proofErr w:type="spellStart"/>
      <w:r>
        <w:t>Gerardi</w:t>
      </w:r>
      <w:proofErr w:type="spellEnd"/>
      <w:r>
        <w:t xml:space="preserve">, perteneciente al equipo de Liverpool, se vio involucrado en una situación descripta por el árbitro, como una jugada brusca y grave: desplazamiento del brazo/codo a la altura </w:t>
      </w:r>
      <w:r>
        <w:t xml:space="preserve">del rostro (parte sensible y vital del cuerpo) de Sergio Villagra, situación que derivó en un corte profundo en la ceja y lo que posteriormente desencadenó en una sutura de 3 puntos..  </w:t>
      </w:r>
    </w:p>
    <w:p w:rsidR="006A720A" w:rsidRDefault="00D149B6">
      <w:pPr>
        <w:spacing w:after="0" w:line="259" w:lineRule="auto"/>
        <w:ind w:left="45" w:right="0" w:firstLine="0"/>
        <w:jc w:val="left"/>
      </w:pPr>
      <w:r>
        <w:t xml:space="preserve">    </w:t>
      </w:r>
    </w:p>
    <w:p w:rsidR="006A720A" w:rsidRDefault="00D149B6">
      <w:pPr>
        <w:ind w:left="10" w:right="3"/>
      </w:pPr>
      <w:r>
        <w:t xml:space="preserve">El pleno del Tribunal manifiesta cuanto sigue:    </w:t>
      </w:r>
    </w:p>
    <w:p w:rsidR="006A720A" w:rsidRDefault="00D149B6">
      <w:pPr>
        <w:spacing w:after="0" w:line="259" w:lineRule="auto"/>
        <w:ind w:left="45" w:right="0" w:firstLine="0"/>
        <w:jc w:val="left"/>
      </w:pPr>
      <w:r>
        <w:t xml:space="preserve">    </w:t>
      </w:r>
    </w:p>
    <w:p w:rsidR="006A720A" w:rsidRDefault="00D149B6">
      <w:pPr>
        <w:ind w:left="10" w:right="3"/>
      </w:pPr>
      <w:r>
        <w:t>Que, en virtud del artículo 21.1 del Reglamento Clausura 2025, este Tribunal se encuentra suficientemente facultado para entender en todos los incidentes disciplinarios que se desarrollen tanto en el marco de las jornadas deportivas organizadas por la Comi</w:t>
      </w:r>
      <w:r>
        <w:t xml:space="preserve">sión Directiva, como en cualquier otra actividad desarrollada por la mencionada Comisión, independientemente a que sean recreativas, deportivas, benéficas u otras.    </w:t>
      </w:r>
    </w:p>
    <w:p w:rsidR="006A720A" w:rsidRDefault="00D149B6">
      <w:pPr>
        <w:spacing w:after="5" w:line="259" w:lineRule="auto"/>
        <w:ind w:left="15" w:right="0" w:firstLine="0"/>
        <w:jc w:val="left"/>
      </w:pPr>
      <w:r>
        <w:t xml:space="preserve">  </w:t>
      </w:r>
    </w:p>
    <w:p w:rsidR="006A720A" w:rsidRDefault="00D149B6">
      <w:pPr>
        <w:spacing w:after="5" w:line="252" w:lineRule="auto"/>
        <w:ind w:left="20" w:right="-2" w:hanging="20"/>
      </w:pPr>
      <w:proofErr w:type="gramStart"/>
      <w:r>
        <w:t>Citamos</w:t>
      </w:r>
      <w:proofErr w:type="gramEnd"/>
      <w:r>
        <w:t xml:space="preserve"> además, el artículo 23, numerales 23</w:t>
      </w:r>
      <w:r>
        <w:t>.1 “</w:t>
      </w:r>
      <w:r>
        <w:rPr>
          <w:i/>
        </w:rPr>
        <w:t>Decidir acerca de las cuestiones disc</w:t>
      </w:r>
      <w:r>
        <w:rPr>
          <w:i/>
        </w:rPr>
        <w:t>iplinarias y conductuales</w:t>
      </w:r>
      <w:r>
        <w:t>”. Y el artículo 2</w:t>
      </w:r>
      <w:r>
        <w:t>3</w:t>
      </w:r>
      <w:r>
        <w:t>.1.3 “</w:t>
      </w:r>
      <w:r>
        <w:rPr>
          <w:i/>
        </w:rPr>
        <w:t>Aplicar multas, dictar resoluciones y suspender a los asociados, delegados, participantes del torneo, cuyas conductas no se encuadren dentro de las normas de respeto y buenas costumbres que deben reinar den</w:t>
      </w:r>
      <w:r>
        <w:rPr>
          <w:i/>
        </w:rPr>
        <w:t xml:space="preserve">tro del torneo y de las disposiciones de este reglamento”. </w:t>
      </w:r>
      <w:r>
        <w:t xml:space="preserve"> </w:t>
      </w:r>
    </w:p>
    <w:p w:rsidR="006A720A" w:rsidRDefault="00D149B6">
      <w:pPr>
        <w:spacing w:after="0" w:line="259" w:lineRule="auto"/>
        <w:ind w:left="30" w:right="0" w:firstLine="0"/>
        <w:jc w:val="left"/>
      </w:pPr>
      <w:r>
        <w:t xml:space="preserve">   </w:t>
      </w:r>
    </w:p>
    <w:p w:rsidR="006A720A" w:rsidRDefault="00D149B6">
      <w:pPr>
        <w:ind w:left="10" w:right="3"/>
      </w:pPr>
      <w:r>
        <w:t xml:space="preserve">Que, el reglamento especifica cuáles son los actos que serán considerados como agresión en los artículos 55 y concordantes. La misma normativa específica los presupuestos que </w:t>
      </w:r>
      <w:r>
        <w:lastRenderedPageBreak/>
        <w:t xml:space="preserve">se deben reunir </w:t>
      </w:r>
      <w:r>
        <w:t xml:space="preserve">para considerarlas como agresiones menores o agresiones graves, previendo una sanción para cada caso.   </w:t>
      </w:r>
    </w:p>
    <w:p w:rsidR="006A720A" w:rsidRDefault="00D149B6">
      <w:pPr>
        <w:spacing w:after="5" w:line="259" w:lineRule="auto"/>
        <w:ind w:left="15" w:right="0" w:firstLine="0"/>
        <w:jc w:val="left"/>
      </w:pPr>
      <w:r>
        <w:t xml:space="preserve"> </w:t>
      </w:r>
    </w:p>
    <w:p w:rsidR="006A720A" w:rsidRDefault="00D149B6">
      <w:pPr>
        <w:spacing w:after="5" w:line="252" w:lineRule="auto"/>
        <w:ind w:left="20" w:right="-2" w:hanging="20"/>
      </w:pPr>
      <w:r>
        <w:t>Es importante mencionar al artículo 58.1 que describe lo que es una agresión: “</w:t>
      </w:r>
      <w:r>
        <w:rPr>
          <w:i/>
        </w:rPr>
        <w:t>Se entenderá por agresión el golpe efectuado con cualquier parte del c</w:t>
      </w:r>
      <w:r>
        <w:rPr>
          <w:i/>
        </w:rPr>
        <w:t>uerpo o mediante la utilización de objeto contundente en contra del físico de otro, realizado con la intención de lastimar y en circunstancias en las que, notoriamente, no puede considerarse como ocurrida dentro de los límites normales de una disputa entre</w:t>
      </w:r>
      <w:r>
        <w:rPr>
          <w:i/>
        </w:rPr>
        <w:t xml:space="preserve"> jugadores en una jugada del partido” </w:t>
      </w:r>
    </w:p>
    <w:p w:rsidR="006A720A" w:rsidRDefault="00D149B6">
      <w:pPr>
        <w:spacing w:after="0" w:line="259" w:lineRule="auto"/>
        <w:ind w:left="15" w:right="0" w:firstLine="0"/>
        <w:jc w:val="left"/>
      </w:pPr>
      <w:r>
        <w:t xml:space="preserve"> </w:t>
      </w:r>
    </w:p>
    <w:p w:rsidR="006A720A" w:rsidRDefault="00D149B6">
      <w:pPr>
        <w:ind w:left="10" w:right="3"/>
      </w:pPr>
      <w:r>
        <w:t>El articulo 59 faculta al Tribunal a establecer las sanciones aplicables, basándose en una medición de la sanción, la que tendrá como base la gravedad del resultado, la modalidad de la agresión, el motivo de la agre</w:t>
      </w:r>
      <w:r>
        <w:t xml:space="preserve">sión y la conducta anterior del agresor. </w:t>
      </w:r>
    </w:p>
    <w:p w:rsidR="006A720A" w:rsidRDefault="00D149B6">
      <w:pPr>
        <w:spacing w:after="0" w:line="254" w:lineRule="auto"/>
        <w:ind w:left="15" w:right="8371" w:firstLine="0"/>
        <w:jc w:val="left"/>
      </w:pPr>
      <w:r>
        <w:t xml:space="preserve">    </w:t>
      </w:r>
    </w:p>
    <w:p w:rsidR="006A720A" w:rsidRDefault="00D149B6">
      <w:pPr>
        <w:ind w:left="10" w:right="3"/>
      </w:pPr>
      <w:r>
        <w:t xml:space="preserve">Que, analizado los siguientes documentos presentados en esta causa, a saber:     </w:t>
      </w:r>
    </w:p>
    <w:p w:rsidR="006A720A" w:rsidRDefault="00D149B6">
      <w:pPr>
        <w:spacing w:after="14" w:line="259" w:lineRule="auto"/>
        <w:ind w:left="45" w:right="0" w:firstLine="0"/>
        <w:jc w:val="left"/>
      </w:pPr>
      <w:r>
        <w:t xml:space="preserve">    </w:t>
      </w:r>
    </w:p>
    <w:p w:rsidR="006A720A" w:rsidRDefault="00D149B6">
      <w:pPr>
        <w:numPr>
          <w:ilvl w:val="0"/>
          <w:numId w:val="1"/>
        </w:numPr>
        <w:ind w:right="3" w:hanging="360"/>
      </w:pPr>
      <w:r>
        <w:t xml:space="preserve">Denuncia presentada por Xeneizes.    </w:t>
      </w:r>
    </w:p>
    <w:p w:rsidR="006A720A" w:rsidRDefault="00D149B6">
      <w:pPr>
        <w:numPr>
          <w:ilvl w:val="0"/>
          <w:numId w:val="1"/>
        </w:numPr>
        <w:ind w:right="3" w:hanging="360"/>
      </w:pPr>
      <w:r>
        <w:t xml:space="preserve">Planilla del partido disputado con el informe arbitral.  </w:t>
      </w:r>
    </w:p>
    <w:p w:rsidR="006A720A" w:rsidRDefault="00D149B6">
      <w:pPr>
        <w:numPr>
          <w:ilvl w:val="0"/>
          <w:numId w:val="1"/>
        </w:numPr>
        <w:ind w:right="3" w:hanging="360"/>
      </w:pPr>
      <w:r>
        <w:t xml:space="preserve">Informe de </w:t>
      </w:r>
      <w:r>
        <w:t xml:space="preserve">la mesa de veedores  </w:t>
      </w:r>
    </w:p>
    <w:p w:rsidR="006A720A" w:rsidRDefault="00D149B6">
      <w:pPr>
        <w:numPr>
          <w:ilvl w:val="0"/>
          <w:numId w:val="1"/>
        </w:numPr>
        <w:ind w:right="3" w:hanging="360"/>
      </w:pPr>
      <w:r>
        <w:t xml:space="preserve">Imágenes del circuito cerrado   </w:t>
      </w:r>
    </w:p>
    <w:p w:rsidR="006A720A" w:rsidRDefault="00D149B6">
      <w:pPr>
        <w:numPr>
          <w:ilvl w:val="0"/>
          <w:numId w:val="1"/>
        </w:numPr>
        <w:ind w:right="3" w:hanging="360"/>
      </w:pPr>
      <w:r>
        <w:t xml:space="preserve">Descargo presentado por Liverpool.   </w:t>
      </w:r>
    </w:p>
    <w:p w:rsidR="006A720A" w:rsidRDefault="00D149B6">
      <w:pPr>
        <w:numPr>
          <w:ilvl w:val="0"/>
          <w:numId w:val="1"/>
        </w:numPr>
        <w:ind w:right="3" w:hanging="360"/>
      </w:pPr>
      <w:r>
        <w:t xml:space="preserve">Videos proveídos como elementos probatorios.  </w:t>
      </w:r>
    </w:p>
    <w:p w:rsidR="006A720A" w:rsidRDefault="00D149B6">
      <w:pPr>
        <w:spacing w:after="3" w:line="259" w:lineRule="auto"/>
        <w:ind w:left="30" w:right="0" w:firstLine="0"/>
        <w:jc w:val="left"/>
      </w:pPr>
      <w:r>
        <w:t xml:space="preserve">   </w:t>
      </w:r>
    </w:p>
    <w:p w:rsidR="006A720A" w:rsidRDefault="00D149B6">
      <w:pPr>
        <w:spacing w:after="1" w:line="258" w:lineRule="auto"/>
        <w:ind w:left="10" w:right="0"/>
      </w:pPr>
      <w:r>
        <w:rPr>
          <w:b/>
          <w:i/>
        </w:rPr>
        <w:t xml:space="preserve">Consideramos que:  </w:t>
      </w:r>
      <w:r>
        <w:t xml:space="preserve">   </w:t>
      </w:r>
    </w:p>
    <w:p w:rsidR="006A720A" w:rsidRDefault="00D149B6">
      <w:pPr>
        <w:spacing w:after="0" w:line="259" w:lineRule="auto"/>
        <w:ind w:left="45" w:right="0" w:firstLine="0"/>
        <w:jc w:val="left"/>
      </w:pPr>
      <w:r>
        <w:rPr>
          <w:i/>
        </w:rPr>
        <w:t xml:space="preserve"> </w:t>
      </w:r>
      <w:r>
        <w:t xml:space="preserve">   </w:t>
      </w:r>
    </w:p>
    <w:p w:rsidR="006A720A" w:rsidRDefault="00D149B6">
      <w:pPr>
        <w:ind w:left="10" w:right="3"/>
      </w:pPr>
      <w:r>
        <w:t>En primer lugar, luego de analizar todos los elementos, concluimos de forma unánime que el deber más importante que tiene el Tribunal Disciplinario es el de disminuir la cantidad de hechos de violencia en el fútbol masculino y en cualquier actividad organi</w:t>
      </w:r>
      <w:r>
        <w:t xml:space="preserve">zada por la ADESAC, y que las sanciones deben servir para cumplir con esos fines. Que, a posteriori del profundo análisis de los elementos arrimados a este procedimiento, colegimos que el hecho trasciende de una </w:t>
      </w:r>
      <w:r>
        <w:t xml:space="preserve">disputa “normal” entre rivales, sino que es </w:t>
      </w:r>
      <w:r>
        <w:t xml:space="preserve">una jugada que puso en peligro la integridad del rival, considerando lo sensible que es la zona lastimada, la velocidad en la que venía Sergio Villagra y la forma en que se pone el codo para que se produzca el impacto. </w:t>
      </w:r>
    </w:p>
    <w:p w:rsidR="006A720A" w:rsidRDefault="00D149B6">
      <w:pPr>
        <w:spacing w:after="0" w:line="259" w:lineRule="auto"/>
        <w:ind w:left="15" w:right="0" w:firstLine="0"/>
        <w:jc w:val="left"/>
      </w:pPr>
      <w:r>
        <w:t xml:space="preserve"> </w:t>
      </w:r>
    </w:p>
    <w:p w:rsidR="006A720A" w:rsidRDefault="00D149B6">
      <w:pPr>
        <w:ind w:left="10" w:right="3"/>
      </w:pPr>
      <w:r>
        <w:t>Como miembros activos del Comité d</w:t>
      </w:r>
      <w:r>
        <w:t xml:space="preserve">e Disciplina consideramos trascendental velar por la integridad de los jugadores y en honor al rol que cumplimos en la ADESAC, aplicar las sanciones pertinentes para erradicar situaciones que pongan en peligro la integridad de los participantes. </w:t>
      </w:r>
    </w:p>
    <w:p w:rsidR="006A720A" w:rsidRDefault="00D149B6">
      <w:pPr>
        <w:spacing w:after="17" w:line="259" w:lineRule="auto"/>
        <w:ind w:left="15" w:right="0" w:firstLine="0"/>
        <w:jc w:val="left"/>
      </w:pPr>
      <w:r>
        <w:t xml:space="preserve">  </w:t>
      </w:r>
    </w:p>
    <w:p w:rsidR="006A720A" w:rsidRDefault="00D149B6">
      <w:pPr>
        <w:spacing w:after="1" w:line="258" w:lineRule="auto"/>
        <w:ind w:left="10" w:right="0"/>
      </w:pPr>
      <w:r>
        <w:t>El informe arbitral expresa cuanto sigue: “</w:t>
      </w:r>
      <w:r>
        <w:rPr>
          <w:b/>
          <w:i/>
        </w:rPr>
        <w:t xml:space="preserve">El jugador No 22 Guillermo </w:t>
      </w:r>
      <w:proofErr w:type="spellStart"/>
      <w:r>
        <w:rPr>
          <w:b/>
          <w:i/>
        </w:rPr>
        <w:t>Gerardi</w:t>
      </w:r>
      <w:proofErr w:type="spellEnd"/>
      <w:r>
        <w:rPr>
          <w:b/>
          <w:i/>
        </w:rPr>
        <w:t xml:space="preserve">, fue expulsado por juego brusco grave” </w:t>
      </w:r>
      <w:r>
        <w:t xml:space="preserve"> </w:t>
      </w:r>
    </w:p>
    <w:p w:rsidR="006A720A" w:rsidRDefault="00D149B6">
      <w:pPr>
        <w:spacing w:after="35" w:line="259" w:lineRule="auto"/>
        <w:ind w:left="15" w:right="0" w:firstLine="0"/>
        <w:jc w:val="left"/>
      </w:pPr>
      <w:r>
        <w:rPr>
          <w:b/>
          <w:i/>
        </w:rPr>
        <w:t xml:space="preserve"> </w:t>
      </w:r>
      <w:r>
        <w:t xml:space="preserve"> </w:t>
      </w:r>
    </w:p>
    <w:p w:rsidR="006A720A" w:rsidRDefault="00D149B6">
      <w:pPr>
        <w:spacing w:after="1" w:line="258" w:lineRule="auto"/>
        <w:ind w:left="10" w:right="0"/>
      </w:pPr>
      <w:r>
        <w:lastRenderedPageBreak/>
        <w:t>El informe de la mesa de veedores relata los hechos de la siguiente manera: “</w:t>
      </w:r>
      <w:r>
        <w:rPr>
          <w:b/>
          <w:i/>
        </w:rPr>
        <w:t>En una disputa por el balón, dos jugadores se interpusier</w:t>
      </w:r>
      <w:r>
        <w:rPr>
          <w:b/>
          <w:i/>
        </w:rPr>
        <w:t xml:space="preserve">on en el recorrido de Sergio Villagra, integrante del equipo Xeneizes; uno de ellos, Guillermo </w:t>
      </w:r>
      <w:proofErr w:type="spellStart"/>
      <w:r>
        <w:rPr>
          <w:b/>
          <w:i/>
        </w:rPr>
        <w:t>Gerardi</w:t>
      </w:r>
      <w:proofErr w:type="spellEnd"/>
      <w:r>
        <w:rPr>
          <w:b/>
          <w:i/>
        </w:rPr>
        <w:t xml:space="preserve">, le aplicó un golpe con el codo a la altura de la ceja, lo que provocó su caída y una herida visible en dicha zona” </w:t>
      </w:r>
      <w:r>
        <w:t xml:space="preserve"> </w:t>
      </w:r>
    </w:p>
    <w:p w:rsidR="001A170F" w:rsidRDefault="001A170F">
      <w:pPr>
        <w:spacing w:after="1" w:line="258" w:lineRule="auto"/>
        <w:ind w:left="10" w:right="0"/>
      </w:pPr>
    </w:p>
    <w:p w:rsidR="001A170F" w:rsidRPr="001A170F" w:rsidRDefault="001A170F">
      <w:pPr>
        <w:spacing w:after="1" w:line="258" w:lineRule="auto"/>
        <w:ind w:left="10" w:right="0"/>
        <w:rPr>
          <w:b/>
          <w:i/>
        </w:rPr>
      </w:pPr>
      <w:r>
        <w:t>Que, Sergio Villagra fue atendido y trasladado por la empresa que presta servicios de ambulancia y primeros auxilios, en su informe de actividades detallaron cuanto sigue: “</w:t>
      </w:r>
      <w:r w:rsidRPr="001A170F">
        <w:rPr>
          <w:b/>
          <w:i/>
        </w:rPr>
        <w:t>Se procedió al traslado del paciente Sergio Villagra, del equipo Xeneizes, por un corte a la altura de la ceja, posiblemente para sutura se</w:t>
      </w:r>
      <w:bookmarkStart w:id="0" w:name="_GoBack"/>
      <w:bookmarkEnd w:id="0"/>
      <w:r w:rsidRPr="001A170F">
        <w:rPr>
          <w:b/>
          <w:i/>
        </w:rPr>
        <w:t>gún consideración del médico. Se le trasladó consciente con signos vitales normales hasta el Sanatorio Migone”</w:t>
      </w:r>
    </w:p>
    <w:p w:rsidR="006A720A" w:rsidRDefault="00D149B6">
      <w:pPr>
        <w:spacing w:after="0" w:line="259" w:lineRule="auto"/>
        <w:ind w:left="15" w:right="0" w:firstLine="0"/>
        <w:jc w:val="left"/>
      </w:pPr>
      <w:r>
        <w:rPr>
          <w:b/>
          <w:i/>
        </w:rPr>
        <w:t xml:space="preserve"> </w:t>
      </w:r>
      <w:r>
        <w:t xml:space="preserve"> </w:t>
      </w:r>
    </w:p>
    <w:p w:rsidR="006A720A" w:rsidRDefault="00D149B6">
      <w:pPr>
        <w:spacing w:after="1" w:line="258" w:lineRule="auto"/>
        <w:ind w:left="10" w:right="0"/>
      </w:pPr>
      <w:r>
        <w:t>Que, finalmente, Liverpool, ejer</w:t>
      </w:r>
      <w:r>
        <w:t xml:space="preserve">ció su derecho a defensa, presentando un descargo dentro </w:t>
      </w:r>
      <w:r>
        <w:t>del plazo establecido y entre otras cuestiones manifestó cuanto sigue: “</w:t>
      </w:r>
      <w:r>
        <w:rPr>
          <w:b/>
          <w:i/>
        </w:rPr>
        <w:t>En primer lugar, corresponde destacar que en las grabaciones presentadas como prueba no se logra visualizar con claridad la int</w:t>
      </w:r>
      <w:r>
        <w:rPr>
          <w:b/>
          <w:i/>
        </w:rPr>
        <w:t>encionalidad ni la supuesta gravedad de la acción, por lo que no puede sostenerse objetivamente que haya existido una conducta dolosa o desleal por parte de nuestro jugador”</w:t>
      </w:r>
      <w:r>
        <w:rPr>
          <w:i/>
        </w:rPr>
        <w:t xml:space="preserve"> </w:t>
      </w:r>
      <w:r>
        <w:t xml:space="preserve"> </w:t>
      </w:r>
    </w:p>
    <w:p w:rsidR="006A720A" w:rsidRDefault="00D149B6">
      <w:pPr>
        <w:spacing w:after="0" w:line="259" w:lineRule="auto"/>
        <w:ind w:left="30" w:right="0" w:firstLine="0"/>
        <w:jc w:val="left"/>
      </w:pPr>
      <w:r>
        <w:rPr>
          <w:i/>
        </w:rPr>
        <w:t xml:space="preserve"> </w:t>
      </w:r>
      <w:r>
        <w:t xml:space="preserve"> </w:t>
      </w:r>
    </w:p>
    <w:p w:rsidR="006A720A" w:rsidRDefault="00D149B6">
      <w:pPr>
        <w:ind w:left="10" w:right="3"/>
      </w:pPr>
      <w:r>
        <w:t>Como se puede apreciar, en los informes presentados y en los videos, todos lo</w:t>
      </w:r>
      <w:r>
        <w:t xml:space="preserve">s elementos coinciden plenamente en los hechos, situación que nos lleva a concluir que si existió una </w:t>
      </w:r>
      <w:r>
        <w:t xml:space="preserve">jugada antideportiva: “Utilización del codo para impactar en el rostro del rival”. Este </w:t>
      </w:r>
      <w:r>
        <w:t>hecho reúne los presupuestos para ser considerado como una agresió</w:t>
      </w:r>
      <w:r>
        <w:t xml:space="preserve">n, y es una agresión que reviste gravedad, principalmente por el resultado obtenido. Un hecho de sangre que derivó en una sutura de tres puntos en la ceja. </w:t>
      </w:r>
    </w:p>
    <w:p w:rsidR="006A720A" w:rsidRDefault="00D149B6">
      <w:pPr>
        <w:spacing w:after="0" w:line="259" w:lineRule="auto"/>
        <w:ind w:left="30" w:right="0" w:firstLine="0"/>
        <w:jc w:val="left"/>
      </w:pPr>
      <w:r>
        <w:t xml:space="preserve">  </w:t>
      </w:r>
    </w:p>
    <w:p w:rsidR="006A720A" w:rsidRDefault="00D149B6">
      <w:pPr>
        <w:spacing w:after="1" w:line="258" w:lineRule="auto"/>
        <w:ind w:left="10" w:right="0"/>
      </w:pPr>
      <w:r>
        <w:rPr>
          <w:b/>
          <w:i/>
        </w:rPr>
        <w:t xml:space="preserve">Por tanto: </w:t>
      </w:r>
      <w:r>
        <w:t xml:space="preserve">   </w:t>
      </w:r>
    </w:p>
    <w:p w:rsidR="006A720A" w:rsidRDefault="00D149B6">
      <w:pPr>
        <w:spacing w:after="0" w:line="259" w:lineRule="auto"/>
        <w:ind w:left="45" w:right="0" w:firstLine="0"/>
        <w:jc w:val="left"/>
      </w:pPr>
      <w:r>
        <w:rPr>
          <w:i/>
        </w:rPr>
        <w:t xml:space="preserve"> </w:t>
      </w:r>
      <w:r>
        <w:t xml:space="preserve">   </w:t>
      </w:r>
    </w:p>
    <w:p w:rsidR="006A720A" w:rsidRDefault="00D149B6">
      <w:pPr>
        <w:ind w:left="10" w:right="3"/>
      </w:pPr>
      <w:r>
        <w:t xml:space="preserve">En atención a las siguientes disposiciones del Reglamento Clausura 2025:    </w:t>
      </w:r>
    </w:p>
    <w:p w:rsidR="006A720A" w:rsidRDefault="00D149B6">
      <w:pPr>
        <w:spacing w:after="0" w:line="259" w:lineRule="auto"/>
        <w:ind w:left="45" w:right="0" w:firstLine="0"/>
        <w:jc w:val="left"/>
      </w:pPr>
      <w:r>
        <w:t xml:space="preserve">   </w:t>
      </w:r>
    </w:p>
    <w:p w:rsidR="006A720A" w:rsidRDefault="00D149B6">
      <w:pPr>
        <w:ind w:left="10" w:right="3"/>
      </w:pPr>
      <w:r>
        <w:rPr>
          <w:b/>
        </w:rPr>
        <w:t>Artículo 23:</w:t>
      </w:r>
      <w:r>
        <w:t xml:space="preserve"> Son atribuciones del Tribunal Disciplinario:     </w:t>
      </w:r>
    </w:p>
    <w:p w:rsidR="006A720A" w:rsidRDefault="00D149B6">
      <w:pPr>
        <w:spacing w:after="0" w:line="259" w:lineRule="auto"/>
        <w:ind w:left="15" w:right="0" w:firstLine="0"/>
        <w:jc w:val="left"/>
      </w:pPr>
      <w:r>
        <w:t xml:space="preserve">  </w:t>
      </w:r>
    </w:p>
    <w:p w:rsidR="006A720A" w:rsidRDefault="00D149B6">
      <w:pPr>
        <w:spacing w:after="4" w:line="256" w:lineRule="auto"/>
        <w:ind w:left="-5" w:right="0"/>
        <w:jc w:val="left"/>
      </w:pPr>
      <w:r>
        <w:rPr>
          <w:b/>
        </w:rPr>
        <w:t>Decidir acerca de las cuestiones disciplinarias</w:t>
      </w:r>
      <w:r>
        <w:t xml:space="preserve">  </w:t>
      </w:r>
    </w:p>
    <w:p w:rsidR="006A720A" w:rsidRDefault="00D149B6">
      <w:pPr>
        <w:ind w:left="10" w:right="3"/>
      </w:pPr>
      <w:r>
        <w:t xml:space="preserve">Velar por cumplimiento fiel de los Estatutos de la Asociación, como así también los de este Reglamento.     </w:t>
      </w:r>
    </w:p>
    <w:p w:rsidR="006A720A" w:rsidRDefault="00D149B6">
      <w:pPr>
        <w:ind w:left="10" w:right="3"/>
      </w:pPr>
      <w:r>
        <w:t xml:space="preserve">Aplicar multas, dictar resoluciones y suspender a los asociados, delegados, participantes del torneo, cuyas conductas no se encuadren dentro de las normas de respeto y buenas costumbres que deben reinar dentro del torneo.     </w:t>
      </w:r>
    </w:p>
    <w:p w:rsidR="006A720A" w:rsidRDefault="00D149B6">
      <w:pPr>
        <w:spacing w:after="43" w:line="259" w:lineRule="auto"/>
        <w:ind w:left="30" w:right="0" w:firstLine="0"/>
        <w:jc w:val="left"/>
      </w:pPr>
      <w:r>
        <w:t xml:space="preserve">  </w:t>
      </w:r>
    </w:p>
    <w:p w:rsidR="006A720A" w:rsidRDefault="00D149B6">
      <w:pPr>
        <w:spacing w:after="5" w:line="259" w:lineRule="auto"/>
        <w:ind w:left="0" w:right="0" w:firstLine="0"/>
        <w:jc w:val="left"/>
      </w:pPr>
      <w:r>
        <w:rPr>
          <w:b/>
        </w:rPr>
        <w:t xml:space="preserve">“DE LA AGRESIÓN” </w:t>
      </w:r>
      <w:r>
        <w:t xml:space="preserve">   </w:t>
      </w:r>
    </w:p>
    <w:p w:rsidR="006A720A" w:rsidRDefault="00D149B6">
      <w:pPr>
        <w:spacing w:after="0" w:line="259" w:lineRule="auto"/>
        <w:ind w:left="15" w:right="0" w:firstLine="0"/>
        <w:jc w:val="left"/>
      </w:pPr>
      <w:r>
        <w:t xml:space="preserve">  </w:t>
      </w:r>
    </w:p>
    <w:p w:rsidR="006A720A" w:rsidRDefault="00D149B6">
      <w:pPr>
        <w:ind w:left="10" w:right="3"/>
      </w:pPr>
      <w:r>
        <w:rPr>
          <w:b/>
        </w:rPr>
        <w:t>Ar</w:t>
      </w:r>
      <w:r>
        <w:rPr>
          <w:b/>
        </w:rPr>
        <w:t>tículo 58.1</w:t>
      </w:r>
      <w:r>
        <w:t>: Se entenderá por agresión el golpe efectuado con cualquier parte del cuerpo o mediante la utilización de objeto contundente en contra del físico de otro, realizado con la intención de lastimar y en circunstancias en las que, notoriamente, no p</w:t>
      </w:r>
      <w:r>
        <w:t xml:space="preserve">ueda </w:t>
      </w:r>
      <w:r>
        <w:lastRenderedPageBreak/>
        <w:t xml:space="preserve">considerarse como ocurrida dentro de los límites normales de una disputa entre jugadores en una jugada del partido.  </w:t>
      </w:r>
    </w:p>
    <w:p w:rsidR="006A720A" w:rsidRDefault="00D149B6">
      <w:pPr>
        <w:spacing w:after="1" w:line="259" w:lineRule="auto"/>
        <w:ind w:left="15" w:right="0" w:firstLine="0"/>
        <w:jc w:val="left"/>
      </w:pPr>
      <w:r>
        <w:t xml:space="preserve">  </w:t>
      </w:r>
    </w:p>
    <w:p w:rsidR="006A720A" w:rsidRDefault="00D149B6">
      <w:pPr>
        <w:ind w:left="10" w:right="3"/>
      </w:pPr>
      <w:r>
        <w:rPr>
          <w:b/>
        </w:rPr>
        <w:t>Artículo 58.5</w:t>
      </w:r>
      <w:r>
        <w:t xml:space="preserve">: Todas las sanciones conllevaran también la multa pecuniaria, cuyos rangos están establecidos en el Anexo I de este </w:t>
      </w:r>
      <w:r>
        <w:t xml:space="preserve">Reglamento.  </w:t>
      </w:r>
    </w:p>
    <w:p w:rsidR="006A720A" w:rsidRDefault="00D149B6">
      <w:pPr>
        <w:spacing w:after="0" w:line="259" w:lineRule="auto"/>
        <w:ind w:left="45" w:right="0" w:firstLine="0"/>
        <w:jc w:val="left"/>
      </w:pPr>
      <w:r>
        <w:t xml:space="preserve">   </w:t>
      </w:r>
    </w:p>
    <w:p w:rsidR="006A720A" w:rsidRDefault="00D149B6">
      <w:pPr>
        <w:ind w:left="10" w:right="3"/>
      </w:pPr>
      <w:r>
        <w:rPr>
          <w:b/>
        </w:rPr>
        <w:t xml:space="preserve">Artículo 59.1: </w:t>
      </w:r>
      <w:r>
        <w:t>Cuando deba realizarse la medición de la sanción, la aplicación de la misma estará a cargo del Comité de disciplina, a instancias de informe del Comité de Futbol, mesa de veedores o Comisión directiva. Cuando la sanción esté establecida en forma directa, l</w:t>
      </w:r>
      <w:r>
        <w:t xml:space="preserve">a misma será aplicada por la Comisión Directiva.     </w:t>
      </w:r>
    </w:p>
    <w:p w:rsidR="006A720A" w:rsidRDefault="00D149B6">
      <w:pPr>
        <w:spacing w:after="2" w:line="259" w:lineRule="auto"/>
        <w:ind w:left="45" w:right="0" w:firstLine="0"/>
        <w:jc w:val="left"/>
      </w:pPr>
      <w:r>
        <w:rPr>
          <w:i/>
        </w:rPr>
        <w:t xml:space="preserve"> </w:t>
      </w:r>
      <w:r>
        <w:t xml:space="preserve">    </w:t>
      </w:r>
    </w:p>
    <w:p w:rsidR="006A720A" w:rsidRDefault="00D149B6">
      <w:pPr>
        <w:ind w:left="10" w:right="3"/>
      </w:pPr>
      <w:r>
        <w:rPr>
          <w:b/>
        </w:rPr>
        <w:t xml:space="preserve">Artículo 60: Descripción del hecho y calificación del hecho: </w:t>
      </w:r>
      <w:r>
        <w:t xml:space="preserve">La calificación del hecho como agresión corresponderá exclusivamente al Tribunal en Resolución fundada, independientemente de los términos utilizados por el árbitro, veedores o Comisión directiva en sus informes. En esa inteligencia, tanto el árbitro como </w:t>
      </w:r>
      <w:r>
        <w:t xml:space="preserve">los veedores deberán detallar en sus informes conductas concretas y no meras enunciaciones normativas.     </w:t>
      </w:r>
    </w:p>
    <w:p w:rsidR="006A720A" w:rsidRDefault="00D149B6">
      <w:pPr>
        <w:spacing w:after="0" w:line="259" w:lineRule="auto"/>
        <w:ind w:left="45" w:right="0" w:firstLine="0"/>
        <w:jc w:val="left"/>
      </w:pPr>
      <w:r>
        <w:t xml:space="preserve">    </w:t>
      </w:r>
    </w:p>
    <w:p w:rsidR="006A720A" w:rsidRDefault="00D149B6">
      <w:pPr>
        <w:spacing w:after="4" w:line="256" w:lineRule="auto"/>
        <w:ind w:left="-5" w:right="0"/>
        <w:jc w:val="left"/>
      </w:pPr>
      <w:r>
        <w:rPr>
          <w:b/>
        </w:rPr>
        <w:t>En atención a la sana crítica y a los elementos probatorios que obran en autos, este Tribunal considera pertinente aplicar la siguiente sanción</w:t>
      </w:r>
      <w:r>
        <w:rPr>
          <w:b/>
        </w:rPr>
        <w:t xml:space="preserve">: </w:t>
      </w:r>
      <w:r>
        <w:t xml:space="preserve">   </w:t>
      </w:r>
    </w:p>
    <w:p w:rsidR="006A720A" w:rsidRDefault="00D149B6">
      <w:pPr>
        <w:spacing w:after="13" w:line="259" w:lineRule="auto"/>
        <w:ind w:left="45" w:right="0" w:firstLine="0"/>
        <w:jc w:val="left"/>
      </w:pPr>
      <w:r>
        <w:rPr>
          <w:i/>
        </w:rPr>
        <w:t xml:space="preserve"> </w:t>
      </w:r>
      <w:r>
        <w:t xml:space="preserve">   </w:t>
      </w:r>
    </w:p>
    <w:p w:rsidR="006A720A" w:rsidRDefault="00D149B6">
      <w:pPr>
        <w:numPr>
          <w:ilvl w:val="0"/>
          <w:numId w:val="2"/>
        </w:numPr>
        <w:ind w:right="3"/>
      </w:pPr>
      <w:r>
        <w:t xml:space="preserve">Guillermo </w:t>
      </w:r>
      <w:proofErr w:type="spellStart"/>
      <w:r>
        <w:t>Gerardi</w:t>
      </w:r>
      <w:proofErr w:type="spellEnd"/>
      <w:r>
        <w:t>: Corresponde agregar 16 (dieciséis) fechas de suspensión a la sanción inicial de 2 (dos) fechas de suspensión por roja directa, quedando de la siguiente manera: Sanción de 18 (dieciocho) fechas de suspensión, las que se computa</w:t>
      </w:r>
      <w:r>
        <w:t>ran desde el siguiente partido de su expulsión, computándose todas las jornadas a disputarse por el equipo. La sanción mencionada, se aplica exclusivamente para su equipo en la Categoría A, y NO se hace extensiva a todas las categorías en las que pudiere p</w:t>
      </w:r>
      <w:r>
        <w:t xml:space="preserve">articipar, es decir, la suspensión es aplicable exclusivamente en su equipo Liverpool, equipo militante en la Categoría A.   </w:t>
      </w:r>
    </w:p>
    <w:p w:rsidR="006A720A" w:rsidRDefault="00D149B6">
      <w:pPr>
        <w:numPr>
          <w:ilvl w:val="0"/>
          <w:numId w:val="2"/>
        </w:numPr>
        <w:ind w:right="3"/>
      </w:pPr>
      <w:r>
        <w:t xml:space="preserve">Aplicar una multa pecuniaria de 600.000 (seiscientos mil), delegando la forma de percepción de esta a la Comisión Directiva.  </w:t>
      </w:r>
    </w:p>
    <w:p w:rsidR="006A720A" w:rsidRDefault="00D149B6">
      <w:pPr>
        <w:spacing w:after="0" w:line="259" w:lineRule="auto"/>
        <w:ind w:left="766" w:right="0" w:firstLine="0"/>
        <w:jc w:val="left"/>
      </w:pPr>
      <w:r>
        <w:t xml:space="preserve">   </w:t>
      </w:r>
      <w:r>
        <w:t xml:space="preserve"> </w:t>
      </w:r>
    </w:p>
    <w:p w:rsidR="006A720A" w:rsidRDefault="00D149B6">
      <w:pPr>
        <w:spacing w:after="10"/>
        <w:ind w:left="70" w:right="0"/>
        <w:jc w:val="center"/>
      </w:pPr>
      <w:r>
        <w:t xml:space="preserve">Con la decisión expuesta se dio por terminado el acto firmando los señores miembros del Tribunal de Disciplina, de la ADESAC, quedando la resolución que sigue a continuación:  </w:t>
      </w:r>
    </w:p>
    <w:p w:rsidR="006A720A" w:rsidRDefault="00D149B6">
      <w:pPr>
        <w:spacing w:after="0" w:line="259" w:lineRule="auto"/>
        <w:ind w:left="30" w:right="0" w:firstLine="0"/>
        <w:jc w:val="left"/>
      </w:pPr>
      <w:r>
        <w:t xml:space="preserve">  </w:t>
      </w:r>
    </w:p>
    <w:p w:rsidR="006A720A" w:rsidRDefault="00D149B6">
      <w:pPr>
        <w:spacing w:after="6" w:line="257" w:lineRule="auto"/>
        <w:ind w:left="83" w:right="0"/>
        <w:jc w:val="center"/>
      </w:pPr>
      <w:r>
        <w:rPr>
          <w:b/>
        </w:rPr>
        <w:t xml:space="preserve">EL TRIBUNAL DE DISCIPLINA, DE LA ASOCIACIÓN DE EX ALUMNOS DEL COLEGIO SANTA CLARA RESUELVE: </w:t>
      </w:r>
      <w:r>
        <w:t xml:space="preserve">   </w:t>
      </w:r>
    </w:p>
    <w:p w:rsidR="006A720A" w:rsidRDefault="00D149B6">
      <w:pPr>
        <w:spacing w:after="9" w:line="259" w:lineRule="auto"/>
        <w:ind w:left="45" w:right="0" w:firstLine="0"/>
        <w:jc w:val="left"/>
      </w:pPr>
      <w:r>
        <w:rPr>
          <w:b/>
        </w:rPr>
        <w:t xml:space="preserve"> </w:t>
      </w:r>
      <w:r>
        <w:t xml:space="preserve">   </w:t>
      </w:r>
    </w:p>
    <w:p w:rsidR="006A720A" w:rsidRDefault="00D149B6">
      <w:pPr>
        <w:numPr>
          <w:ilvl w:val="0"/>
          <w:numId w:val="3"/>
        </w:numPr>
        <w:ind w:left="1487" w:right="3" w:hanging="361"/>
      </w:pPr>
      <w:r>
        <w:rPr>
          <w:b/>
        </w:rPr>
        <w:t xml:space="preserve">SANCIONAR </w:t>
      </w:r>
      <w:r>
        <w:t xml:space="preserve">al jugador Guillermo </w:t>
      </w:r>
      <w:proofErr w:type="spellStart"/>
      <w:r>
        <w:t>Gerardi</w:t>
      </w:r>
      <w:proofErr w:type="spellEnd"/>
      <w:r>
        <w:t xml:space="preserve"> perteneciente a Liverpool con dieciocho (18) fechas de suspensión las que se computaran desde el siguiente partido d</w:t>
      </w:r>
      <w:r>
        <w:t xml:space="preserve">e su expulsión, computándose todas las jornadas a </w:t>
      </w:r>
    </w:p>
    <w:p w:rsidR="006A720A" w:rsidRDefault="00D149B6">
      <w:pPr>
        <w:ind w:left="1487" w:right="3" w:hanging="361"/>
      </w:pPr>
      <w:r>
        <w:t xml:space="preserve">disputarse por el equipo. La sanción mencionada se aplica exclusivamente en la Categoría A.  </w:t>
      </w:r>
    </w:p>
    <w:p w:rsidR="006A720A" w:rsidRDefault="00D149B6">
      <w:pPr>
        <w:numPr>
          <w:ilvl w:val="0"/>
          <w:numId w:val="3"/>
        </w:numPr>
        <w:ind w:left="1487" w:right="3" w:hanging="361"/>
      </w:pPr>
      <w:r>
        <w:rPr>
          <w:b/>
        </w:rPr>
        <w:lastRenderedPageBreak/>
        <w:t xml:space="preserve">APLICAR </w:t>
      </w:r>
      <w:r>
        <w:t>una multa de Gs. 600.000 (trescientos mil), delegando la forma de percepción de esta a la Comisión Dire</w:t>
      </w:r>
      <w:r>
        <w:t xml:space="preserve">ctiva.  </w:t>
      </w:r>
    </w:p>
    <w:p w:rsidR="006A720A" w:rsidRDefault="00D149B6">
      <w:pPr>
        <w:numPr>
          <w:ilvl w:val="0"/>
          <w:numId w:val="3"/>
        </w:numPr>
        <w:spacing w:after="4" w:line="256" w:lineRule="auto"/>
        <w:ind w:left="1487" w:right="3" w:hanging="361"/>
      </w:pPr>
      <w:r>
        <w:rPr>
          <w:b/>
        </w:rPr>
        <w:t xml:space="preserve">COMUNÍQUESE </w:t>
      </w:r>
      <w:r>
        <w:t xml:space="preserve">y archívese  </w:t>
      </w:r>
    </w:p>
    <w:p w:rsidR="006A720A" w:rsidRDefault="00D149B6">
      <w:pPr>
        <w:spacing w:after="0" w:line="259" w:lineRule="auto"/>
        <w:ind w:left="30" w:right="0" w:firstLine="0"/>
        <w:jc w:val="left"/>
      </w:pPr>
      <w:r>
        <w:t xml:space="preserve">  </w:t>
      </w:r>
    </w:p>
    <w:p w:rsidR="006A720A" w:rsidRDefault="00D149B6">
      <w:pPr>
        <w:spacing w:after="10"/>
        <w:ind w:left="70" w:right="41"/>
        <w:jc w:val="center"/>
      </w:pPr>
      <w:r>
        <w:t xml:space="preserve">JORGE ROMAN  </w:t>
      </w:r>
    </w:p>
    <w:p w:rsidR="006A720A" w:rsidRDefault="00D149B6">
      <w:pPr>
        <w:spacing w:after="10"/>
        <w:ind w:left="70" w:right="35"/>
        <w:jc w:val="center"/>
      </w:pPr>
      <w:r>
        <w:t xml:space="preserve">HUMBERTO OSNAGHI </w:t>
      </w:r>
    </w:p>
    <w:p w:rsidR="006A720A" w:rsidRDefault="00D149B6">
      <w:pPr>
        <w:spacing w:after="10"/>
        <w:ind w:left="70" w:right="43"/>
        <w:jc w:val="center"/>
      </w:pPr>
      <w:r>
        <w:t xml:space="preserve">ÁLVARO GAHETE   </w:t>
      </w:r>
    </w:p>
    <w:p w:rsidR="006A720A" w:rsidRDefault="00D149B6">
      <w:pPr>
        <w:spacing w:after="0" w:line="259" w:lineRule="auto"/>
        <w:ind w:left="45" w:right="0" w:firstLine="0"/>
        <w:jc w:val="left"/>
      </w:pPr>
      <w:r>
        <w:t xml:space="preserve">    </w:t>
      </w:r>
    </w:p>
    <w:sectPr w:rsidR="006A720A">
      <w:headerReference w:type="even" r:id="rId7"/>
      <w:headerReference w:type="default" r:id="rId8"/>
      <w:headerReference w:type="first" r:id="rId9"/>
      <w:pgSz w:w="11905" w:h="16840"/>
      <w:pgMar w:top="1499" w:right="1678" w:bottom="2068" w:left="1661" w:header="708"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9B6" w:rsidRDefault="00D149B6">
      <w:pPr>
        <w:spacing w:after="0" w:line="240" w:lineRule="auto"/>
      </w:pPr>
      <w:r>
        <w:separator/>
      </w:r>
    </w:p>
  </w:endnote>
  <w:endnote w:type="continuationSeparator" w:id="0">
    <w:p w:rsidR="00D149B6" w:rsidRDefault="00D1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9B6" w:rsidRDefault="00D149B6">
      <w:pPr>
        <w:spacing w:after="0" w:line="240" w:lineRule="auto"/>
      </w:pPr>
      <w:r>
        <w:separator/>
      </w:r>
    </w:p>
  </w:footnote>
  <w:footnote w:type="continuationSeparator" w:id="0">
    <w:p w:rsidR="00D149B6" w:rsidRDefault="00D14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0A" w:rsidRDefault="00D149B6">
    <w:pPr>
      <w:spacing w:after="0" w:line="259" w:lineRule="auto"/>
      <w:ind w:left="0" w:right="-1696" w:firstLine="0"/>
      <w:jc w:val="right"/>
    </w:pPr>
    <w:r>
      <w:rPr>
        <w:noProof/>
      </w:rPr>
      <w:drawing>
        <wp:anchor distT="0" distB="0" distL="114300" distR="114300" simplePos="0" relativeHeight="251658240" behindDoc="0" locked="0" layoutInCell="1" allowOverlap="0">
          <wp:simplePos x="0" y="0"/>
          <wp:positionH relativeFrom="page">
            <wp:posOffset>1080135</wp:posOffset>
          </wp:positionH>
          <wp:positionV relativeFrom="page">
            <wp:posOffset>449542</wp:posOffset>
          </wp:positionV>
          <wp:extent cx="626745" cy="398564"/>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26745" cy="398564"/>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4771390</wp:posOffset>
          </wp:positionH>
          <wp:positionV relativeFrom="page">
            <wp:posOffset>525755</wp:posOffset>
          </wp:positionV>
          <wp:extent cx="1663065" cy="316763"/>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663065" cy="316763"/>
                  </a:xfrm>
                  <a:prstGeom prst="rect">
                    <a:avLst/>
                  </a:prstGeom>
                </pic:spPr>
              </pic:pic>
            </a:graphicData>
          </a:graphic>
        </wp:anchor>
      </w:drawing>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0A" w:rsidRDefault="00D149B6">
    <w:pPr>
      <w:spacing w:after="0" w:line="259" w:lineRule="auto"/>
      <w:ind w:left="0" w:right="-1696" w:firstLine="0"/>
      <w:jc w:val="right"/>
    </w:pPr>
    <w:r>
      <w:rPr>
        <w:noProof/>
      </w:rPr>
      <w:drawing>
        <wp:anchor distT="0" distB="0" distL="114300" distR="114300" simplePos="0" relativeHeight="251660288" behindDoc="0" locked="0" layoutInCell="1" allowOverlap="0">
          <wp:simplePos x="0" y="0"/>
          <wp:positionH relativeFrom="page">
            <wp:posOffset>1080135</wp:posOffset>
          </wp:positionH>
          <wp:positionV relativeFrom="page">
            <wp:posOffset>449542</wp:posOffset>
          </wp:positionV>
          <wp:extent cx="626745" cy="398564"/>
          <wp:effectExtent l="0" t="0" r="0" b="0"/>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26745" cy="398564"/>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4771390</wp:posOffset>
          </wp:positionH>
          <wp:positionV relativeFrom="page">
            <wp:posOffset>525755</wp:posOffset>
          </wp:positionV>
          <wp:extent cx="1663065" cy="316763"/>
          <wp:effectExtent l="0" t="0" r="0" b="0"/>
          <wp:wrapSquare wrapText="bothSides"/>
          <wp:docPr id="2"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663065" cy="316763"/>
                  </a:xfrm>
                  <a:prstGeom prst="rect">
                    <a:avLst/>
                  </a:prstGeom>
                </pic:spPr>
              </pic:pic>
            </a:graphicData>
          </a:graphic>
        </wp:anchor>
      </w:drawing>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0A" w:rsidRDefault="00D149B6">
    <w:pPr>
      <w:spacing w:after="0" w:line="259" w:lineRule="auto"/>
      <w:ind w:left="0" w:right="-1696" w:firstLine="0"/>
      <w:jc w:val="right"/>
    </w:pPr>
    <w:r>
      <w:rPr>
        <w:noProof/>
      </w:rPr>
      <w:drawing>
        <wp:anchor distT="0" distB="0" distL="114300" distR="114300" simplePos="0" relativeHeight="251662336" behindDoc="0" locked="0" layoutInCell="1" allowOverlap="0">
          <wp:simplePos x="0" y="0"/>
          <wp:positionH relativeFrom="page">
            <wp:posOffset>1080135</wp:posOffset>
          </wp:positionH>
          <wp:positionV relativeFrom="page">
            <wp:posOffset>449542</wp:posOffset>
          </wp:positionV>
          <wp:extent cx="626745" cy="398564"/>
          <wp:effectExtent l="0" t="0" r="0" b="0"/>
          <wp:wrapSquare wrapText="bothSides"/>
          <wp:docPr id="3"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26745" cy="398564"/>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4771390</wp:posOffset>
          </wp:positionH>
          <wp:positionV relativeFrom="page">
            <wp:posOffset>525755</wp:posOffset>
          </wp:positionV>
          <wp:extent cx="1663065" cy="316763"/>
          <wp:effectExtent l="0" t="0" r="0" b="0"/>
          <wp:wrapSquare wrapText="bothSides"/>
          <wp:docPr id="4"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663065" cy="316763"/>
                  </a:xfrm>
                  <a:prstGeom prst="rect">
                    <a:avLst/>
                  </a:prstGeom>
                </pic:spPr>
              </pic:pic>
            </a:graphicData>
          </a:graphic>
        </wp:anchor>
      </w:drawing>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B6755"/>
    <w:multiLevelType w:val="hybridMultilevel"/>
    <w:tmpl w:val="0390FBA2"/>
    <w:lvl w:ilvl="0" w:tplc="29421A38">
      <w:start w:val="1"/>
      <w:numFmt w:val="lowerLetter"/>
      <w:lvlText w:val="%1)"/>
      <w:lvlJc w:val="left"/>
      <w:pPr>
        <w:ind w:left="7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2848EC">
      <w:start w:val="1"/>
      <w:numFmt w:val="lowerLetter"/>
      <w:lvlText w:val="%2"/>
      <w:lvlJc w:val="left"/>
      <w:pPr>
        <w:ind w:left="1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FC3EA0">
      <w:start w:val="1"/>
      <w:numFmt w:val="lowerRoman"/>
      <w:lvlText w:val="%3"/>
      <w:lvlJc w:val="left"/>
      <w:pPr>
        <w:ind w:left="2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84D370">
      <w:start w:val="1"/>
      <w:numFmt w:val="decimal"/>
      <w:lvlText w:val="%4"/>
      <w:lvlJc w:val="left"/>
      <w:pPr>
        <w:ind w:left="2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902EB2">
      <w:start w:val="1"/>
      <w:numFmt w:val="lowerLetter"/>
      <w:lvlText w:val="%5"/>
      <w:lvlJc w:val="left"/>
      <w:pPr>
        <w:ind w:left="3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E6B854">
      <w:start w:val="1"/>
      <w:numFmt w:val="lowerRoman"/>
      <w:lvlText w:val="%6"/>
      <w:lvlJc w:val="left"/>
      <w:pPr>
        <w:ind w:left="4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EAB496">
      <w:start w:val="1"/>
      <w:numFmt w:val="decimal"/>
      <w:lvlText w:val="%7"/>
      <w:lvlJc w:val="left"/>
      <w:pPr>
        <w:ind w:left="5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823A50">
      <w:start w:val="1"/>
      <w:numFmt w:val="lowerLetter"/>
      <w:lvlText w:val="%8"/>
      <w:lvlJc w:val="left"/>
      <w:pPr>
        <w:ind w:left="5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6D2F2B0">
      <w:start w:val="1"/>
      <w:numFmt w:val="lowerRoman"/>
      <w:lvlText w:val="%9"/>
      <w:lvlJc w:val="left"/>
      <w:pPr>
        <w:ind w:left="6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376D4C"/>
    <w:multiLevelType w:val="hybridMultilevel"/>
    <w:tmpl w:val="B0ECB9B0"/>
    <w:lvl w:ilvl="0" w:tplc="3D66BBAE">
      <w:start w:val="1"/>
      <w:numFmt w:val="decimal"/>
      <w:lvlText w:val="%1)"/>
      <w:lvlJc w:val="left"/>
      <w:pPr>
        <w:ind w:left="14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C4176C">
      <w:start w:val="1"/>
      <w:numFmt w:val="lowerLetter"/>
      <w:lvlText w:val="%2"/>
      <w:lvlJc w:val="left"/>
      <w:pPr>
        <w:ind w:left="2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98DF54">
      <w:start w:val="1"/>
      <w:numFmt w:val="lowerRoman"/>
      <w:lvlText w:val="%3"/>
      <w:lvlJc w:val="left"/>
      <w:pPr>
        <w:ind w:left="29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1C8A4A">
      <w:start w:val="1"/>
      <w:numFmt w:val="decimal"/>
      <w:lvlText w:val="%4"/>
      <w:lvlJc w:val="left"/>
      <w:pPr>
        <w:ind w:left="3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2AB408">
      <w:start w:val="1"/>
      <w:numFmt w:val="lowerLetter"/>
      <w:lvlText w:val="%5"/>
      <w:lvlJc w:val="left"/>
      <w:pPr>
        <w:ind w:left="4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60EF48">
      <w:start w:val="1"/>
      <w:numFmt w:val="lowerRoman"/>
      <w:lvlText w:val="%6"/>
      <w:lvlJc w:val="left"/>
      <w:pPr>
        <w:ind w:left="5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D07CE2">
      <w:start w:val="1"/>
      <w:numFmt w:val="decimal"/>
      <w:lvlText w:val="%7"/>
      <w:lvlJc w:val="left"/>
      <w:pPr>
        <w:ind w:left="5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EC5462">
      <w:start w:val="1"/>
      <w:numFmt w:val="lowerLetter"/>
      <w:lvlText w:val="%8"/>
      <w:lvlJc w:val="left"/>
      <w:pPr>
        <w:ind w:left="6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5039C6">
      <w:start w:val="1"/>
      <w:numFmt w:val="lowerRoman"/>
      <w:lvlText w:val="%9"/>
      <w:lvlJc w:val="left"/>
      <w:pPr>
        <w:ind w:left="7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9B433F"/>
    <w:multiLevelType w:val="hybridMultilevel"/>
    <w:tmpl w:val="0EDA0490"/>
    <w:lvl w:ilvl="0" w:tplc="54D4A4FA">
      <w:start w:val="1"/>
      <w:numFmt w:val="decimal"/>
      <w:lvlText w:val="%1)"/>
      <w:lvlJc w:val="left"/>
      <w:pPr>
        <w:ind w:left="11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A660E8">
      <w:start w:val="1"/>
      <w:numFmt w:val="lowerLetter"/>
      <w:lvlText w:val="%2"/>
      <w:lvlJc w:val="left"/>
      <w:pPr>
        <w:ind w:left="21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540F7E">
      <w:start w:val="1"/>
      <w:numFmt w:val="lowerRoman"/>
      <w:lvlText w:val="%3"/>
      <w:lvlJc w:val="left"/>
      <w:pPr>
        <w:ind w:left="29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0E86D2">
      <w:start w:val="1"/>
      <w:numFmt w:val="decimal"/>
      <w:lvlText w:val="%4"/>
      <w:lvlJc w:val="left"/>
      <w:pPr>
        <w:ind w:left="36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72E17A">
      <w:start w:val="1"/>
      <w:numFmt w:val="lowerLetter"/>
      <w:lvlText w:val="%5"/>
      <w:lvlJc w:val="left"/>
      <w:pPr>
        <w:ind w:left="4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3A09A2">
      <w:start w:val="1"/>
      <w:numFmt w:val="lowerRoman"/>
      <w:lvlText w:val="%6"/>
      <w:lvlJc w:val="left"/>
      <w:pPr>
        <w:ind w:left="50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72EC0C">
      <w:start w:val="1"/>
      <w:numFmt w:val="decimal"/>
      <w:lvlText w:val="%7"/>
      <w:lvlJc w:val="left"/>
      <w:pPr>
        <w:ind w:left="57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E6623A">
      <w:start w:val="1"/>
      <w:numFmt w:val="lowerLetter"/>
      <w:lvlText w:val="%8"/>
      <w:lvlJc w:val="left"/>
      <w:pPr>
        <w:ind w:left="65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72946C">
      <w:start w:val="1"/>
      <w:numFmt w:val="lowerRoman"/>
      <w:lvlText w:val="%9"/>
      <w:lvlJc w:val="left"/>
      <w:pPr>
        <w:ind w:left="72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0A"/>
    <w:rsid w:val="001A170F"/>
    <w:rsid w:val="006A720A"/>
    <w:rsid w:val="00D149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0621"/>
  <w15:docId w15:val="{619B7A44-B108-4B58-8850-451F9775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53" w:lineRule="auto"/>
      <w:ind w:left="25" w:right="11"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1564</Words>
  <Characters>8602</Characters>
  <Application>Microsoft Office Word</Application>
  <DocSecurity>0</DocSecurity>
  <Lines>71</Lines>
  <Paragraphs>20</Paragraphs>
  <ScaleCrop>false</ScaleCrop>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cp:lastModifiedBy>Usuario de Windows</cp:lastModifiedBy>
  <cp:revision>2</cp:revision>
  <dcterms:created xsi:type="dcterms:W3CDTF">2025-09-03T17:14:00Z</dcterms:created>
  <dcterms:modified xsi:type="dcterms:W3CDTF">2025-09-03T17:14:00Z</dcterms:modified>
</cp:coreProperties>
</file>