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1B92F" w14:textId="77777777" w:rsidR="00D37F71" w:rsidRDefault="00EA5732">
      <w:pPr>
        <w:spacing w:after="2" w:line="259" w:lineRule="auto"/>
        <w:ind w:left="14" w:right="0" w:firstLine="0"/>
        <w:jc w:val="left"/>
      </w:pPr>
      <w:r>
        <w:rPr>
          <w:b/>
        </w:rPr>
        <w:t xml:space="preserve"> </w:t>
      </w:r>
      <w:r>
        <w:t xml:space="preserve"> </w:t>
      </w:r>
    </w:p>
    <w:p w14:paraId="2C9A1B43" w14:textId="77777777" w:rsidR="00D37F71" w:rsidRDefault="00EA5732">
      <w:pPr>
        <w:spacing w:after="4"/>
        <w:ind w:left="-5" w:right="0"/>
        <w:jc w:val="left"/>
      </w:pPr>
      <w:r>
        <w:rPr>
          <w:b/>
        </w:rPr>
        <w:t xml:space="preserve">TRIBUNAL DE DISCIPLINA DE LA ASOCIACION DE EX ALUMNOS DEL </w:t>
      </w:r>
      <w:r>
        <w:t xml:space="preserve"> </w:t>
      </w:r>
    </w:p>
    <w:p w14:paraId="2F14B55A" w14:textId="77777777" w:rsidR="00D37F71" w:rsidRDefault="00EA5732">
      <w:pPr>
        <w:spacing w:after="4"/>
        <w:ind w:left="-5" w:right="0"/>
        <w:jc w:val="left"/>
      </w:pPr>
      <w:r>
        <w:rPr>
          <w:b/>
        </w:rPr>
        <w:t xml:space="preserve">COLEGIO SANTA CLARA </w:t>
      </w:r>
      <w:r>
        <w:t xml:space="preserve"> </w:t>
      </w:r>
    </w:p>
    <w:p w14:paraId="487E19A2" w14:textId="77777777" w:rsidR="00D37F71" w:rsidRDefault="00EA5732">
      <w:pPr>
        <w:spacing w:after="0" w:line="259" w:lineRule="auto"/>
        <w:ind w:left="14" w:right="0" w:firstLine="0"/>
        <w:jc w:val="left"/>
      </w:pPr>
      <w:r>
        <w:rPr>
          <w:b/>
        </w:rPr>
        <w:t xml:space="preserve"> </w:t>
      </w:r>
      <w:r>
        <w:t xml:space="preserve"> </w:t>
      </w:r>
    </w:p>
    <w:p w14:paraId="28AA30D2" w14:textId="3C5CC3CB" w:rsidR="00D37F71" w:rsidRDefault="00EA5732">
      <w:pPr>
        <w:tabs>
          <w:tab w:val="center" w:pos="5235"/>
        </w:tabs>
        <w:spacing w:after="4"/>
        <w:ind w:left="-15" w:right="0" w:firstLine="0"/>
        <w:jc w:val="left"/>
      </w:pPr>
      <w:r>
        <w:rPr>
          <w:b/>
        </w:rPr>
        <w:t xml:space="preserve">Resolución N° </w:t>
      </w:r>
      <w:r w:rsidR="00CF06C5">
        <w:rPr>
          <w:b/>
        </w:rPr>
        <w:t>0</w:t>
      </w:r>
      <w:r w:rsidR="00FC0D69">
        <w:rPr>
          <w:b/>
        </w:rPr>
        <w:t>4</w:t>
      </w:r>
      <w:r>
        <w:rPr>
          <w:b/>
        </w:rPr>
        <w:t>/202</w:t>
      </w:r>
      <w:r w:rsidR="009254C9">
        <w:rPr>
          <w:b/>
        </w:rPr>
        <w:t>5</w:t>
      </w:r>
      <w:r>
        <w:t xml:space="preserve">.-  </w:t>
      </w:r>
      <w:r>
        <w:tab/>
        <w:t xml:space="preserve">  </w:t>
      </w:r>
    </w:p>
    <w:p w14:paraId="241FC161" w14:textId="77777777" w:rsidR="00D37F71" w:rsidRDefault="00EA5732">
      <w:pPr>
        <w:spacing w:after="0" w:line="259" w:lineRule="auto"/>
        <w:ind w:left="14" w:right="0" w:firstLine="0"/>
        <w:jc w:val="left"/>
      </w:pPr>
      <w:r>
        <w:t xml:space="preserve">  </w:t>
      </w:r>
    </w:p>
    <w:p w14:paraId="714A7EF3" w14:textId="15C21616" w:rsidR="00D37F71" w:rsidRDefault="00EA5732">
      <w:pPr>
        <w:ind w:left="-5" w:right="0"/>
      </w:pPr>
      <w:r>
        <w:t xml:space="preserve">En la ciudad de Asunción, capital de la república del Paraguay, a los </w:t>
      </w:r>
      <w:r w:rsidR="009254C9">
        <w:t>veintidós</w:t>
      </w:r>
      <w:r w:rsidR="00254937">
        <w:t xml:space="preserve"> días</w:t>
      </w:r>
      <w:r>
        <w:t xml:space="preserve"> del mes de </w:t>
      </w:r>
      <w:r w:rsidR="009254C9">
        <w:t>mayo</w:t>
      </w:r>
      <w:r>
        <w:t xml:space="preserve"> del año dos mil </w:t>
      </w:r>
      <w:r w:rsidR="00CF06C5">
        <w:t>veintic</w:t>
      </w:r>
      <w:r w:rsidR="009254C9">
        <w:t>inco</w:t>
      </w:r>
      <w:r>
        <w:t xml:space="preserve"> estando reunidos los miembros titulares del Tribunal Disciplinario, del Torneo de Futbol de la Asociación de Ex Alumnos del Colegio Santa Clara ADESAC, </w:t>
      </w:r>
      <w:r w:rsidR="00FC0D69">
        <w:rPr>
          <w:b/>
        </w:rPr>
        <w:t>Jorge Román</w:t>
      </w:r>
      <w:r>
        <w:rPr>
          <w:b/>
        </w:rPr>
        <w:t xml:space="preserve">, </w:t>
      </w:r>
      <w:r w:rsidR="009254C9">
        <w:rPr>
          <w:b/>
        </w:rPr>
        <w:t>Humberto Osnaghi</w:t>
      </w:r>
      <w:r w:rsidR="00FC0D69">
        <w:rPr>
          <w:b/>
        </w:rPr>
        <w:t xml:space="preserve"> y </w:t>
      </w:r>
      <w:r w:rsidR="009254C9">
        <w:rPr>
          <w:b/>
        </w:rPr>
        <w:t>Fabricio Ruiz</w:t>
      </w:r>
      <w:r>
        <w:rPr>
          <w:b/>
        </w:rPr>
        <w:t>.</w:t>
      </w:r>
      <w:r>
        <w:t xml:space="preserve">  </w:t>
      </w:r>
    </w:p>
    <w:p w14:paraId="51F532E0" w14:textId="77777777" w:rsidR="00D37F71" w:rsidRDefault="00EA5732">
      <w:pPr>
        <w:spacing w:after="0" w:line="259" w:lineRule="auto"/>
        <w:ind w:left="14" w:right="0" w:firstLine="0"/>
        <w:jc w:val="left"/>
      </w:pPr>
      <w:r>
        <w:t xml:space="preserve">  </w:t>
      </w:r>
    </w:p>
    <w:p w14:paraId="46ADAC4B" w14:textId="249144A2" w:rsidR="00D37F71" w:rsidRDefault="00EA5732">
      <w:pPr>
        <w:ind w:left="-5" w:right="0"/>
      </w:pPr>
      <w:r>
        <w:t>Re</w:t>
      </w:r>
      <w:r w:rsidR="00FC0D69">
        <w:t xml:space="preserve">cibidos </w:t>
      </w:r>
      <w:r w:rsidR="009254C9">
        <w:t>el informe arbitral, la planilla de juego y el informe de la mesa de veedores</w:t>
      </w:r>
      <w:r>
        <w:t xml:space="preserve">, se analiza el hecho que </w:t>
      </w:r>
      <w:r w:rsidR="00CF06C5">
        <w:t xml:space="preserve">lo </w:t>
      </w:r>
      <w:r>
        <w:t>involucra</w:t>
      </w:r>
      <w:r w:rsidR="00562495">
        <w:t xml:space="preserve"> a los señores Sergio Perales, perteneciente al equipo de los Redondos y a Juan Acosta, perteneciente al equipo de Tiburón</w:t>
      </w:r>
      <w:r>
        <w:t xml:space="preserve"> y se expone cuanto sigue:  </w:t>
      </w:r>
    </w:p>
    <w:p w14:paraId="0FB788D3" w14:textId="77777777" w:rsidR="00D37F71" w:rsidRDefault="00EA5732">
      <w:pPr>
        <w:spacing w:after="0" w:line="259" w:lineRule="auto"/>
        <w:ind w:left="14" w:right="0" w:firstLine="0"/>
        <w:jc w:val="left"/>
      </w:pPr>
      <w:r>
        <w:t xml:space="preserve">  </w:t>
      </w:r>
    </w:p>
    <w:p w14:paraId="0F08B663" w14:textId="77777777" w:rsidR="00D37F71" w:rsidRDefault="00EA5732">
      <w:pPr>
        <w:ind w:left="-5" w:right="0"/>
      </w:pPr>
      <w:r>
        <w:t xml:space="preserve">Previo estudio de los antecedentes, el Tribunal resuelve plantear lo siguiente   </w:t>
      </w:r>
    </w:p>
    <w:p w14:paraId="5C499C20" w14:textId="77777777" w:rsidR="00D37F71" w:rsidRDefault="00EA5732">
      <w:pPr>
        <w:spacing w:after="2" w:line="259" w:lineRule="auto"/>
        <w:ind w:left="14" w:right="0" w:firstLine="0"/>
        <w:jc w:val="left"/>
      </w:pPr>
      <w:r>
        <w:t xml:space="preserve">  </w:t>
      </w:r>
    </w:p>
    <w:p w14:paraId="0EF75F41" w14:textId="77777777" w:rsidR="00D37F71" w:rsidRDefault="00EA5732">
      <w:pPr>
        <w:ind w:left="446" w:right="428"/>
        <w:jc w:val="center"/>
      </w:pPr>
      <w:r>
        <w:rPr>
          <w:b/>
        </w:rPr>
        <w:t>CUESTIÓN:</w:t>
      </w:r>
      <w:r>
        <w:t xml:space="preserve">  </w:t>
      </w:r>
    </w:p>
    <w:p w14:paraId="430DFC1B" w14:textId="77777777" w:rsidR="00D37F71" w:rsidRDefault="00EA5732">
      <w:pPr>
        <w:spacing w:after="0" w:line="259" w:lineRule="auto"/>
        <w:ind w:left="14" w:right="0" w:firstLine="0"/>
        <w:jc w:val="left"/>
      </w:pPr>
      <w:r>
        <w:t xml:space="preserve">  </w:t>
      </w:r>
    </w:p>
    <w:p w14:paraId="0A8D7A31" w14:textId="4491FA59" w:rsidR="00D37F71" w:rsidRDefault="00EA5732">
      <w:pPr>
        <w:ind w:left="-5" w:right="0"/>
      </w:pPr>
      <w:r>
        <w:t xml:space="preserve">Elevado </w:t>
      </w:r>
      <w:r w:rsidR="00CF06C5">
        <w:t>todos los antecedentes:</w:t>
      </w:r>
    </w:p>
    <w:p w14:paraId="7095703B" w14:textId="77777777" w:rsidR="00D37F71" w:rsidRDefault="00EA5732">
      <w:pPr>
        <w:spacing w:after="0" w:line="259" w:lineRule="auto"/>
        <w:ind w:left="14" w:right="0" w:firstLine="0"/>
        <w:jc w:val="left"/>
      </w:pPr>
      <w:r>
        <w:t xml:space="preserve">  </w:t>
      </w:r>
    </w:p>
    <w:p w14:paraId="2FFF7DBF" w14:textId="77777777" w:rsidR="00D37F71" w:rsidRDefault="00EA5732">
      <w:pPr>
        <w:ind w:left="-5" w:right="0"/>
      </w:pPr>
      <w:r>
        <w:t xml:space="preserve">El pleno del Tribunal manifiesta cuanto sigue:  </w:t>
      </w:r>
    </w:p>
    <w:p w14:paraId="7787DB08" w14:textId="77777777" w:rsidR="00D37F71" w:rsidRDefault="00EA5732">
      <w:pPr>
        <w:spacing w:after="0" w:line="259" w:lineRule="auto"/>
        <w:ind w:left="14" w:right="0" w:firstLine="0"/>
        <w:jc w:val="left"/>
      </w:pPr>
      <w:r>
        <w:t xml:space="preserve">  </w:t>
      </w:r>
    </w:p>
    <w:p w14:paraId="31EAA929" w14:textId="462F14D6" w:rsidR="00D37F71" w:rsidRDefault="00CF06C5">
      <w:pPr>
        <w:ind w:left="-5" w:right="0"/>
      </w:pPr>
      <w:r>
        <w:t>Que, en virtud del artículo 18</w:t>
      </w:r>
      <w:r w:rsidR="00EA5732">
        <w:t xml:space="preserve"> del Reglamento </w:t>
      </w:r>
      <w:r w:rsidR="00562495">
        <w:t>Apertura</w:t>
      </w:r>
      <w:r w:rsidR="00EA5732">
        <w:t xml:space="preserve"> 202</w:t>
      </w:r>
      <w:r w:rsidR="00562495">
        <w:t>5</w:t>
      </w:r>
      <w:r w:rsidR="00EA5732">
        <w:t xml:space="preserve">, este Tribunal se encuentra suficientemente facultado para entender en el presente caso, aplicar multas, dictar resoluciones y suspender a los asociados, delegados, participantes del torneo, cuyas conductas no se encuadren dentro de las normas de respeto y buenas costumbres que deben reinar dentro del torneo.  </w:t>
      </w:r>
    </w:p>
    <w:p w14:paraId="12684910" w14:textId="77777777" w:rsidR="00D37F71" w:rsidRDefault="00EA5732">
      <w:pPr>
        <w:spacing w:after="0" w:line="259" w:lineRule="auto"/>
        <w:ind w:left="0" w:right="0" w:firstLine="0"/>
        <w:jc w:val="left"/>
      </w:pPr>
      <w:r>
        <w:t xml:space="preserve"> </w:t>
      </w:r>
    </w:p>
    <w:p w14:paraId="45C7A302" w14:textId="5D782629" w:rsidR="00D37F71" w:rsidRDefault="00EA5732">
      <w:pPr>
        <w:ind w:left="-5" w:right="0"/>
      </w:pPr>
      <w:r>
        <w:t>Que, el reglamento especifica cuáles son los actos que serán considerados c</w:t>
      </w:r>
      <w:r w:rsidR="00CF06C5">
        <w:t>omo agresión en los artículos 55</w:t>
      </w:r>
      <w:r>
        <w:t xml:space="preserve"> y concordantes. </w:t>
      </w:r>
    </w:p>
    <w:p w14:paraId="16C56669" w14:textId="77777777" w:rsidR="00D37F71" w:rsidRDefault="00EA5732">
      <w:pPr>
        <w:spacing w:after="0" w:line="259" w:lineRule="auto"/>
        <w:ind w:left="14" w:right="0" w:firstLine="0"/>
        <w:jc w:val="left"/>
      </w:pPr>
      <w:r>
        <w:t xml:space="preserve">  </w:t>
      </w:r>
    </w:p>
    <w:p w14:paraId="2DF68617" w14:textId="36E2389A" w:rsidR="00D37F71" w:rsidRDefault="00EA5732">
      <w:pPr>
        <w:ind w:left="-5" w:right="0"/>
      </w:pPr>
      <w:r>
        <w:t xml:space="preserve">Que, analizado los siguientes documentos presentados en esta causa, a saber:   </w:t>
      </w:r>
    </w:p>
    <w:p w14:paraId="2B7AE734" w14:textId="38D273E4" w:rsidR="00D37F71" w:rsidRDefault="00EA5732" w:rsidP="00562495">
      <w:pPr>
        <w:spacing w:after="1" w:line="259" w:lineRule="auto"/>
        <w:ind w:left="14" w:right="0" w:firstLine="0"/>
        <w:jc w:val="left"/>
      </w:pPr>
      <w:r>
        <w:t xml:space="preserve">    </w:t>
      </w:r>
    </w:p>
    <w:p w14:paraId="712274B9" w14:textId="77777777" w:rsidR="000D5696" w:rsidRDefault="00CF06C5" w:rsidP="00FC0D69">
      <w:pPr>
        <w:numPr>
          <w:ilvl w:val="0"/>
          <w:numId w:val="1"/>
        </w:numPr>
        <w:ind w:right="0" w:hanging="360"/>
      </w:pPr>
      <w:r>
        <w:t>Planilla del partido disputado con el informe arbitral.</w:t>
      </w:r>
      <w:r w:rsidR="00EA5732">
        <w:t xml:space="preserve"> </w:t>
      </w:r>
    </w:p>
    <w:p w14:paraId="666B5A14" w14:textId="1B6F63F6" w:rsidR="00085D81" w:rsidRDefault="00562495" w:rsidP="00FC0D69">
      <w:pPr>
        <w:numPr>
          <w:ilvl w:val="0"/>
          <w:numId w:val="1"/>
        </w:numPr>
        <w:ind w:right="0" w:hanging="360"/>
      </w:pPr>
      <w:r>
        <w:t>Informe de la mesa de veedores.</w:t>
      </w:r>
    </w:p>
    <w:p w14:paraId="32EFFD8A" w14:textId="6FF33B6C" w:rsidR="000D5696" w:rsidRDefault="00562495" w:rsidP="00FC0D69">
      <w:pPr>
        <w:numPr>
          <w:ilvl w:val="0"/>
          <w:numId w:val="1"/>
        </w:numPr>
        <w:ind w:right="0" w:hanging="360"/>
      </w:pPr>
      <w:r>
        <w:t>Videos del CCTV.</w:t>
      </w:r>
    </w:p>
    <w:p w14:paraId="7E565C92" w14:textId="6346A349" w:rsidR="00D37F71" w:rsidRDefault="00EA5732" w:rsidP="005A788F">
      <w:pPr>
        <w:spacing w:after="1" w:line="259" w:lineRule="auto"/>
        <w:ind w:left="14" w:right="0" w:firstLine="0"/>
        <w:jc w:val="left"/>
      </w:pPr>
      <w:r>
        <w:t xml:space="preserve">  </w:t>
      </w:r>
    </w:p>
    <w:p w14:paraId="522A5508" w14:textId="77777777" w:rsidR="00D37F71" w:rsidRDefault="00EA5732">
      <w:pPr>
        <w:spacing w:after="0" w:line="259" w:lineRule="auto"/>
        <w:ind w:left="-5" w:right="0"/>
        <w:jc w:val="left"/>
      </w:pPr>
      <w:r>
        <w:rPr>
          <w:b/>
          <w:i/>
        </w:rPr>
        <w:t xml:space="preserve">Consideramos que:  </w:t>
      </w:r>
      <w:r>
        <w:t xml:space="preserve"> </w:t>
      </w:r>
    </w:p>
    <w:p w14:paraId="3D0D07D2" w14:textId="77777777" w:rsidR="00D37F71" w:rsidRDefault="00EA5732">
      <w:pPr>
        <w:spacing w:after="0" w:line="259" w:lineRule="auto"/>
        <w:ind w:left="14" w:right="0" w:firstLine="0"/>
        <w:jc w:val="left"/>
      </w:pPr>
      <w:r>
        <w:rPr>
          <w:i/>
        </w:rPr>
        <w:t xml:space="preserve"> </w:t>
      </w:r>
      <w:r>
        <w:t xml:space="preserve"> </w:t>
      </w:r>
    </w:p>
    <w:p w14:paraId="37F1DD0E" w14:textId="314B90A4" w:rsidR="00D37F71" w:rsidRDefault="00EA5732">
      <w:pPr>
        <w:ind w:left="-5" w:right="0"/>
      </w:pPr>
      <w:r>
        <w:t>En primer lugar, luego de analizar todos los elementos, concluimos de forma unánime que lo sucedido trasciende de una situación</w:t>
      </w:r>
      <w:r w:rsidR="00254937">
        <w:t xml:space="preserve"> “aceptable</w:t>
      </w:r>
      <w:r w:rsidR="00085D81">
        <w:t>”</w:t>
      </w:r>
      <w:r>
        <w:t xml:space="preserve"> dentro del </w:t>
      </w:r>
      <w:r w:rsidR="00254937">
        <w:t xml:space="preserve">campo </w:t>
      </w:r>
      <w:r>
        <w:t>juego</w:t>
      </w:r>
      <w:r w:rsidR="00254937">
        <w:t xml:space="preserve">, </w:t>
      </w:r>
      <w:r w:rsidR="00562495">
        <w:t>y que el hecho se encuadra dentro de lo que el reglamento describe como agresión</w:t>
      </w:r>
      <w:r>
        <w:t xml:space="preserve">. </w:t>
      </w:r>
    </w:p>
    <w:p w14:paraId="1332F779" w14:textId="254C9EE5" w:rsidR="0032202A" w:rsidRDefault="0032202A">
      <w:pPr>
        <w:ind w:left="-5" w:right="0"/>
      </w:pPr>
    </w:p>
    <w:p w14:paraId="07788B0A" w14:textId="367ABBED" w:rsidR="0032202A" w:rsidRDefault="0032202A">
      <w:pPr>
        <w:ind w:left="-5" w:right="0"/>
      </w:pPr>
    </w:p>
    <w:p w14:paraId="1D883CE8" w14:textId="53745DB1" w:rsidR="0032202A" w:rsidRDefault="0032202A">
      <w:pPr>
        <w:ind w:left="-5" w:right="0"/>
        <w:rPr>
          <w:b/>
          <w:i/>
        </w:rPr>
      </w:pPr>
      <w:r>
        <w:lastRenderedPageBreak/>
        <w:t>Que, el informe arbitral expresa cuanto sigue: “</w:t>
      </w:r>
      <w:r w:rsidR="00562495">
        <w:rPr>
          <w:b/>
          <w:i/>
        </w:rPr>
        <w:t xml:space="preserve">A los 8 minutos del segundo tiempo expulse a los jugadores Sergio Perales del equipo Los Redondos y a Juan A. Acosta Fleitas del equipo </w:t>
      </w:r>
      <w:r w:rsidR="00AE17A7">
        <w:rPr>
          <w:b/>
          <w:i/>
        </w:rPr>
        <w:t>Tiburón</w:t>
      </w:r>
      <w:r w:rsidR="00562495">
        <w:rPr>
          <w:b/>
          <w:i/>
        </w:rPr>
        <w:t xml:space="preserve"> 00, por conductas violentas, reacción mutua. Una vez expulsados</w:t>
      </w:r>
      <w:r w:rsidR="00AE17A7">
        <w:rPr>
          <w:b/>
          <w:i/>
        </w:rPr>
        <w:t xml:space="preserve"> ambos jugadores, el señor Sergio Perales le propinó un puñetazo a traición al adversario Juan Acosta</w:t>
      </w:r>
      <w:r w:rsidRPr="0032202A">
        <w:rPr>
          <w:b/>
          <w:i/>
        </w:rPr>
        <w:t>”</w:t>
      </w:r>
    </w:p>
    <w:p w14:paraId="0849C2A7" w14:textId="10BD235D" w:rsidR="0032202A" w:rsidRDefault="0032202A">
      <w:pPr>
        <w:ind w:left="-5" w:right="0"/>
        <w:rPr>
          <w:b/>
          <w:i/>
        </w:rPr>
      </w:pPr>
    </w:p>
    <w:p w14:paraId="43025E15" w14:textId="3B15A00D" w:rsidR="0032202A" w:rsidRPr="0032202A" w:rsidRDefault="0032202A">
      <w:pPr>
        <w:ind w:left="-5" w:right="0"/>
        <w:rPr>
          <w:b/>
          <w:i/>
        </w:rPr>
      </w:pPr>
      <w:r>
        <w:t>El informe de la mesa de veedores relata los hechos de la siguiente manera: “</w:t>
      </w:r>
      <w:r w:rsidR="00AE17A7">
        <w:rPr>
          <w:b/>
          <w:i/>
        </w:rPr>
        <w:t>Durante el desarrollo del encuentro fueron expulsados los jugadores Sergio Perales (Los Redondos) y Juan Acosta (Tiburón) como consecuencia de una disputa por la posesión del balón, la cual derivó en un cruce entre ambos, al producirse la expulsión de ambos, el señor Sergio Perales agredió a Juan Acosta, a la altura del rostro. El arbitró asentó su informe en planilla</w:t>
      </w:r>
      <w:r w:rsidRPr="0032202A">
        <w:rPr>
          <w:b/>
          <w:i/>
        </w:rPr>
        <w:t>”</w:t>
      </w:r>
    </w:p>
    <w:p w14:paraId="3A0A1C91" w14:textId="7507DAC0" w:rsidR="000D5696" w:rsidRDefault="000D5696" w:rsidP="0032202A">
      <w:pPr>
        <w:ind w:left="0" w:right="0" w:firstLine="0"/>
      </w:pPr>
    </w:p>
    <w:p w14:paraId="7EE98271" w14:textId="64141D0B" w:rsidR="000D5696" w:rsidRPr="000D5696" w:rsidRDefault="000D5696" w:rsidP="00AE17A7">
      <w:pPr>
        <w:spacing w:after="0" w:line="259" w:lineRule="auto"/>
        <w:ind w:left="0" w:right="0" w:firstLine="0"/>
      </w:pPr>
      <w:r>
        <w:t xml:space="preserve">Que, </w:t>
      </w:r>
      <w:r w:rsidR="00AE17A7">
        <w:t>ambos equipos fueron debidamente notificados para presentar sus descargos en el plazo que establece el reglamento vigente, pero ninguno hizo uso de su derecho, y al estar preclusas las etapas procesales, procederemos a analizar la cuestión:</w:t>
      </w:r>
    </w:p>
    <w:p w14:paraId="47D774D4" w14:textId="77777777" w:rsidR="000D5696" w:rsidRDefault="000D5696">
      <w:pPr>
        <w:spacing w:after="0" w:line="259" w:lineRule="auto"/>
        <w:ind w:left="0" w:right="0" w:firstLine="0"/>
        <w:jc w:val="left"/>
      </w:pPr>
    </w:p>
    <w:p w14:paraId="76D6C861" w14:textId="77777777" w:rsidR="00D37F71" w:rsidRDefault="00EA5732">
      <w:pPr>
        <w:spacing w:after="0" w:line="259" w:lineRule="auto"/>
        <w:ind w:left="-5" w:right="0"/>
        <w:jc w:val="left"/>
      </w:pPr>
      <w:r>
        <w:rPr>
          <w:b/>
          <w:i/>
        </w:rPr>
        <w:t xml:space="preserve">Por tanto: </w:t>
      </w:r>
      <w:r>
        <w:t xml:space="preserve"> </w:t>
      </w:r>
    </w:p>
    <w:p w14:paraId="28D21951" w14:textId="77777777" w:rsidR="00D37F71" w:rsidRDefault="00EA5732">
      <w:pPr>
        <w:spacing w:after="0" w:line="259" w:lineRule="auto"/>
        <w:ind w:left="14" w:right="0" w:firstLine="0"/>
        <w:jc w:val="left"/>
      </w:pPr>
      <w:r>
        <w:rPr>
          <w:i/>
        </w:rPr>
        <w:t xml:space="preserve"> </w:t>
      </w:r>
      <w:r>
        <w:t xml:space="preserve"> </w:t>
      </w:r>
    </w:p>
    <w:p w14:paraId="1F21F771" w14:textId="2866DB1C" w:rsidR="00D37F71" w:rsidRDefault="00EA5732">
      <w:pPr>
        <w:ind w:left="-5" w:right="0"/>
      </w:pPr>
      <w:r>
        <w:t>En atención a las siguient</w:t>
      </w:r>
      <w:r w:rsidR="00AE17A7">
        <w:t>es disposiciones del Reglamento</w:t>
      </w:r>
      <w:r>
        <w:t xml:space="preserve">:  </w:t>
      </w:r>
    </w:p>
    <w:p w14:paraId="751E7AAC" w14:textId="77777777" w:rsidR="00D37F71" w:rsidRDefault="00EA5732">
      <w:pPr>
        <w:spacing w:after="0" w:line="259" w:lineRule="auto"/>
        <w:ind w:left="14" w:right="0" w:firstLine="0"/>
        <w:jc w:val="left"/>
      </w:pPr>
      <w:r>
        <w:t xml:space="preserve"> </w:t>
      </w:r>
    </w:p>
    <w:p w14:paraId="2D550369" w14:textId="4D86F81F" w:rsidR="00D37F71" w:rsidRDefault="00CF06C5">
      <w:pPr>
        <w:ind w:left="-5" w:right="0"/>
      </w:pPr>
      <w:r>
        <w:rPr>
          <w:b/>
        </w:rPr>
        <w:t>Artículo 20</w:t>
      </w:r>
      <w:r w:rsidR="00EA5732">
        <w:rPr>
          <w:b/>
        </w:rPr>
        <w:t>:</w:t>
      </w:r>
      <w:r w:rsidR="00EA5732">
        <w:t xml:space="preserve"> Son atribuciones del Tribunal Disciplinario:   </w:t>
      </w:r>
    </w:p>
    <w:p w14:paraId="4DE9AD0E" w14:textId="77777777" w:rsidR="00CF06C5" w:rsidRDefault="00CF06C5">
      <w:pPr>
        <w:ind w:left="-5" w:right="0"/>
      </w:pPr>
    </w:p>
    <w:p w14:paraId="3891D7DC" w14:textId="68277A2D" w:rsidR="00CF06C5" w:rsidRDefault="00CF06C5">
      <w:pPr>
        <w:ind w:left="-5" w:right="0"/>
      </w:pPr>
      <w:r>
        <w:rPr>
          <w:b/>
        </w:rPr>
        <w:t>Decidir acerca de las cuestiones disciplinarias</w:t>
      </w:r>
    </w:p>
    <w:p w14:paraId="31708E6A" w14:textId="1577FE40" w:rsidR="00D37F71" w:rsidRDefault="00EA5732" w:rsidP="00CF06C5">
      <w:pPr>
        <w:ind w:right="0"/>
      </w:pPr>
      <w:r>
        <w:t xml:space="preserve">Velar por cumplimiento fiel de los Estatutos de la Asociación, como así también los de este Reglamento.   </w:t>
      </w:r>
    </w:p>
    <w:p w14:paraId="76F7D335" w14:textId="66A06E5C" w:rsidR="00CF06C5" w:rsidRDefault="00EA5732" w:rsidP="00CF06C5">
      <w:pPr>
        <w:ind w:right="0"/>
      </w:pPr>
      <w:r>
        <w:t xml:space="preserve">Aplicar multas, dictar resoluciones y suspender a los asociados, delegados, participantes del torneo, cuyas conductas no se encuadren dentro de las normas de respeto y buenas costumbres que deben reinar dentro del torneo.   </w:t>
      </w:r>
    </w:p>
    <w:p w14:paraId="123D4DB6" w14:textId="66CF3927" w:rsidR="00D37F71" w:rsidRDefault="00D37F71" w:rsidP="00C57EDE">
      <w:pPr>
        <w:ind w:left="0" w:right="0" w:firstLine="0"/>
      </w:pPr>
    </w:p>
    <w:p w14:paraId="54DB00FF" w14:textId="5753207B" w:rsidR="00D37F71" w:rsidRDefault="00EA5732">
      <w:pPr>
        <w:spacing w:after="4"/>
        <w:ind w:left="-5" w:right="0"/>
        <w:jc w:val="left"/>
      </w:pPr>
      <w:r>
        <w:rPr>
          <w:b/>
        </w:rPr>
        <w:t xml:space="preserve">“DE LA AGRESIÓN” </w:t>
      </w:r>
      <w:r>
        <w:t xml:space="preserve"> </w:t>
      </w:r>
    </w:p>
    <w:p w14:paraId="2B11F530" w14:textId="77777777" w:rsidR="003B4A1D" w:rsidRDefault="003B4A1D">
      <w:pPr>
        <w:spacing w:after="4"/>
        <w:ind w:left="-5" w:right="0"/>
        <w:jc w:val="left"/>
      </w:pPr>
    </w:p>
    <w:p w14:paraId="2546FA06" w14:textId="08379271" w:rsidR="00CF06C5" w:rsidRDefault="00FC0D69" w:rsidP="00CF06C5">
      <w:pPr>
        <w:spacing w:after="4"/>
        <w:ind w:left="-5" w:right="0"/>
        <w:jc w:val="left"/>
      </w:pPr>
      <w:r w:rsidRPr="00C57EDE">
        <w:rPr>
          <w:b/>
        </w:rPr>
        <w:t>Artículo 55.1</w:t>
      </w:r>
      <w:r w:rsidR="00CF06C5" w:rsidRPr="003B4A1D">
        <w:t xml:space="preserve">: </w:t>
      </w:r>
      <w:r w:rsidR="00C57EDE">
        <w:t>Se entenderá por agresión el golpe efectuado con cualquier parte del cuerpo o mediante la utilización de objeto contundente en contra del físico de otro, realizado con la intención de lastimar y en circunstancias en las que, notoriamente, no pueda considerarse como ocurrida dentro de los límites normales de una disputa entre jugadores en una jugada del partido</w:t>
      </w:r>
      <w:r w:rsidR="003B4A1D" w:rsidRPr="003B4A1D">
        <w:t>.</w:t>
      </w:r>
    </w:p>
    <w:p w14:paraId="56F9B943" w14:textId="454532BB" w:rsidR="00AE17A7" w:rsidRDefault="00AE17A7" w:rsidP="00CF06C5">
      <w:pPr>
        <w:spacing w:after="4"/>
        <w:ind w:left="-5" w:right="0"/>
        <w:jc w:val="left"/>
      </w:pPr>
    </w:p>
    <w:p w14:paraId="0AB7FF49" w14:textId="08B9E728" w:rsidR="00AE17A7" w:rsidRDefault="00AE17A7" w:rsidP="00CF06C5">
      <w:pPr>
        <w:spacing w:after="4"/>
        <w:ind w:left="-5" w:right="0"/>
        <w:jc w:val="left"/>
      </w:pPr>
      <w:r w:rsidRPr="00AE17A7">
        <w:rPr>
          <w:b/>
        </w:rPr>
        <w:t>Artículo 55.2</w:t>
      </w:r>
      <w:r>
        <w:t>: Los empujones, agarrones y agresiones menores serán sancionados acorde al grado de violencia o intensidad con que hayan sido propinados. Las suspensiones por este motivo podrán ir de 1 (una) a 5 (cinco) fechas.</w:t>
      </w:r>
    </w:p>
    <w:p w14:paraId="49B90372" w14:textId="3318E688" w:rsidR="00C57EDE" w:rsidRDefault="00C57EDE" w:rsidP="00CF06C5">
      <w:pPr>
        <w:spacing w:after="4"/>
        <w:ind w:left="-5" w:right="0"/>
        <w:jc w:val="left"/>
      </w:pPr>
    </w:p>
    <w:p w14:paraId="5D50B2D7" w14:textId="3D73E0E1" w:rsidR="00C57EDE" w:rsidRDefault="00C57EDE" w:rsidP="00CF06C5">
      <w:pPr>
        <w:spacing w:after="4"/>
        <w:ind w:left="-5" w:right="0"/>
        <w:jc w:val="left"/>
      </w:pPr>
      <w:r w:rsidRPr="00C57EDE">
        <w:rPr>
          <w:b/>
        </w:rPr>
        <w:t>Artículo 55.4</w:t>
      </w:r>
      <w:r>
        <w:t xml:space="preserve">: El jugador que agrediera a otro jugador o público en general será sancionado con una suspensión mínima de: </w:t>
      </w:r>
    </w:p>
    <w:p w14:paraId="2186FE05" w14:textId="52CBB6F8" w:rsidR="00AE17A7" w:rsidRDefault="00AE17A7" w:rsidP="00CF06C5">
      <w:pPr>
        <w:spacing w:after="4"/>
        <w:ind w:left="-5" w:right="0"/>
        <w:jc w:val="left"/>
      </w:pPr>
    </w:p>
    <w:p w14:paraId="6C3727ED" w14:textId="1B039527" w:rsidR="00AE17A7" w:rsidRDefault="00AE17A7" w:rsidP="00CF06C5">
      <w:pPr>
        <w:spacing w:after="4"/>
        <w:ind w:left="-5" w:right="0"/>
        <w:jc w:val="left"/>
      </w:pPr>
    </w:p>
    <w:p w14:paraId="737DBBED" w14:textId="77777777" w:rsidR="00AE17A7" w:rsidRDefault="00AE17A7" w:rsidP="00CF06C5">
      <w:pPr>
        <w:spacing w:after="4"/>
        <w:ind w:left="-5" w:right="0"/>
        <w:jc w:val="left"/>
      </w:pPr>
    </w:p>
    <w:p w14:paraId="1B1B442A" w14:textId="799A4754" w:rsidR="00C57EDE" w:rsidRDefault="00C57EDE" w:rsidP="00CF06C5">
      <w:pPr>
        <w:spacing w:after="4"/>
        <w:ind w:left="-5" w:right="0"/>
        <w:jc w:val="left"/>
      </w:pPr>
      <w:r w:rsidRPr="00C57EDE">
        <w:rPr>
          <w:b/>
        </w:rPr>
        <w:t>55.1.1</w:t>
      </w:r>
      <w:r>
        <w:t>: Primera falta por agresión: Dieciocho (18) dieciocho fechas.</w:t>
      </w:r>
    </w:p>
    <w:p w14:paraId="2EAF4D90" w14:textId="163F6475" w:rsidR="00C57EDE" w:rsidRDefault="00C57EDE" w:rsidP="00CF06C5">
      <w:pPr>
        <w:spacing w:after="4"/>
        <w:ind w:left="-5" w:right="0"/>
        <w:jc w:val="left"/>
      </w:pPr>
    </w:p>
    <w:p w14:paraId="18FD9980" w14:textId="3B5BB887" w:rsidR="00C57EDE" w:rsidRPr="003B4A1D" w:rsidRDefault="00C57EDE" w:rsidP="00CF06C5">
      <w:pPr>
        <w:spacing w:after="4"/>
        <w:ind w:left="-5" w:right="0"/>
        <w:jc w:val="left"/>
      </w:pPr>
      <w:r w:rsidRPr="00C57EDE">
        <w:rPr>
          <w:b/>
        </w:rPr>
        <w:t>Artículo 55.5</w:t>
      </w:r>
      <w:r>
        <w:t>: Todas las sanciones conllevaran también la multa pecuniaria, cuyos rangos están establecidos en el Anexo I de este Reglamento.</w:t>
      </w:r>
    </w:p>
    <w:p w14:paraId="0A67AE69" w14:textId="6F572BED" w:rsidR="00AE17A7" w:rsidRPr="003B4A1D" w:rsidRDefault="00EA5732" w:rsidP="00AE17A7">
      <w:pPr>
        <w:spacing w:after="0" w:line="259" w:lineRule="auto"/>
        <w:ind w:left="14" w:right="0" w:firstLine="0"/>
        <w:jc w:val="left"/>
      </w:pPr>
      <w:r w:rsidRPr="003B4A1D">
        <w:t xml:space="preserve"> </w:t>
      </w:r>
    </w:p>
    <w:p w14:paraId="63D42EB7" w14:textId="5DCDCBC3" w:rsidR="00D37F71" w:rsidRDefault="003B4A1D">
      <w:pPr>
        <w:ind w:left="-5" w:right="0"/>
      </w:pPr>
      <w:r>
        <w:rPr>
          <w:b/>
        </w:rPr>
        <w:t>Artículo 56.1</w:t>
      </w:r>
      <w:r w:rsidR="00EA5732">
        <w:rPr>
          <w:b/>
        </w:rPr>
        <w:t xml:space="preserve">: </w:t>
      </w:r>
      <w:r w:rsidR="00EA5732">
        <w:t>Cuando deba realizarse la medición de la sanción, la aplicación de la misma estará a cargo del Comité de disciplina, a instancias de informe del Comité de Futbol, mesa de veedores o Comisión directiva. Cuando la sanción esté establecida en forma directa, la misma será apl</w:t>
      </w:r>
      <w:r>
        <w:t>icada por la Comisión Directiva.</w:t>
      </w:r>
      <w:r w:rsidR="00EA5732">
        <w:t xml:space="preserve">   </w:t>
      </w:r>
    </w:p>
    <w:p w14:paraId="5E11108D" w14:textId="77777777" w:rsidR="00D37F71" w:rsidRDefault="00EA5732">
      <w:pPr>
        <w:spacing w:after="0" w:line="259" w:lineRule="auto"/>
        <w:ind w:left="14" w:right="0" w:firstLine="0"/>
        <w:jc w:val="left"/>
      </w:pPr>
      <w:r>
        <w:rPr>
          <w:i/>
        </w:rPr>
        <w:t xml:space="preserve"> </w:t>
      </w:r>
      <w:r>
        <w:t xml:space="preserve">  </w:t>
      </w:r>
    </w:p>
    <w:p w14:paraId="4FB4DB8C" w14:textId="5EE5A28D" w:rsidR="00D37F71" w:rsidRDefault="003B4A1D">
      <w:pPr>
        <w:ind w:left="-5" w:right="0"/>
      </w:pPr>
      <w:r>
        <w:rPr>
          <w:b/>
        </w:rPr>
        <w:t>Artículo 57</w:t>
      </w:r>
      <w:r w:rsidR="00EA5732">
        <w:rPr>
          <w:b/>
        </w:rPr>
        <w:t xml:space="preserve">: Descripción del hecho y calificación del hecho: </w:t>
      </w:r>
      <w:r w:rsidR="00EA5732">
        <w:t xml:space="preserve">La calificación del hecho como agresión corresponderá exclusivamente al Tribunal en Resolución fundada, independientemente de los términos utilizados por el árbitro, veedores o Comisión directiva en sus informes. En esa inteligencia, tanto el árbitro como los veedores deberán detallar en sus informes conductas concretas y no meras enunciaciones normativas.   </w:t>
      </w:r>
    </w:p>
    <w:p w14:paraId="2A99DDD4" w14:textId="6BDFE95A" w:rsidR="00AE17A7" w:rsidRDefault="00AE17A7">
      <w:pPr>
        <w:ind w:left="-5" w:right="0"/>
      </w:pPr>
    </w:p>
    <w:p w14:paraId="08080BA6" w14:textId="3E019845" w:rsidR="00AE17A7" w:rsidRDefault="00AE17A7">
      <w:pPr>
        <w:ind w:left="-5" w:right="0"/>
      </w:pPr>
      <w:r>
        <w:t xml:space="preserve">Luego de analizar todos los elementos, concluimos de la siguiente manera: El </w:t>
      </w:r>
      <w:r w:rsidR="003E5994">
        <w:t>árbitro</w:t>
      </w:r>
      <w:r>
        <w:t xml:space="preserve"> del par</w:t>
      </w:r>
      <w:r w:rsidR="003E5994">
        <w:t xml:space="preserve">tido mencionó que existió conducta violenta por parte de ambos jugadores y lo describe como “reacción mutua”, situación que derivó en la expulsión de ambos jugadores y que una vez expulsados, Sergio Perales agredió a Juan Acosta con un golpe de puño a la altura del rostro. Que, el hecho se encuadraba dentro de lo establecido en el artículo 55.2, pero la agresión posterior a la expulsión cambia la figura de aplicación para el señor Perales. Consideramos que ambas personas deben ser sancionados en vista a que ambos fueron expulsados por reacción mutua, con el agravante que Sergio Perales agredió a Juan Acosta posterior a la expulsión. Dentro de ese contexto, la actitud de Juan Acosta se configura dentro de lo establecido en el artículo 55.2 y en el caso de Sergio Perales, su acción de configura dentro de lo establecido en los artículos 55.1 y 55.1.1. </w:t>
      </w:r>
    </w:p>
    <w:p w14:paraId="68575A08" w14:textId="77777777" w:rsidR="00D37F71" w:rsidRDefault="00EA5732">
      <w:pPr>
        <w:spacing w:after="2" w:line="259" w:lineRule="auto"/>
        <w:ind w:left="14" w:right="0" w:firstLine="0"/>
        <w:jc w:val="left"/>
      </w:pPr>
      <w:r>
        <w:t xml:space="preserve">  </w:t>
      </w:r>
    </w:p>
    <w:p w14:paraId="7A25CC61" w14:textId="175D2CAF" w:rsidR="00D37F71" w:rsidRDefault="00EA5732">
      <w:pPr>
        <w:spacing w:after="4"/>
        <w:ind w:left="-5" w:right="0"/>
        <w:jc w:val="left"/>
      </w:pPr>
      <w:r>
        <w:rPr>
          <w:b/>
        </w:rPr>
        <w:t>En atención a la sana crítica y a los elementos probatorios que obran en autos, este Tribunal considera pertinente aplicar la</w:t>
      </w:r>
      <w:r w:rsidR="00C57EDE">
        <w:rPr>
          <w:b/>
        </w:rPr>
        <w:t xml:space="preserve"> siguiente sanción</w:t>
      </w:r>
      <w:r>
        <w:rPr>
          <w:b/>
        </w:rPr>
        <w:t xml:space="preserve">: </w:t>
      </w:r>
      <w:r>
        <w:t xml:space="preserve"> </w:t>
      </w:r>
    </w:p>
    <w:p w14:paraId="171E9F86" w14:textId="77777777" w:rsidR="00D37F71" w:rsidRDefault="00EA5732">
      <w:pPr>
        <w:spacing w:line="259" w:lineRule="auto"/>
        <w:ind w:left="14" w:right="0" w:firstLine="0"/>
        <w:jc w:val="left"/>
      </w:pPr>
      <w:r>
        <w:rPr>
          <w:i/>
        </w:rPr>
        <w:t xml:space="preserve"> </w:t>
      </w:r>
      <w:r>
        <w:t xml:space="preserve"> </w:t>
      </w:r>
    </w:p>
    <w:p w14:paraId="36779828" w14:textId="04B4579A" w:rsidR="002B4425" w:rsidRDefault="003E5994" w:rsidP="002B4425">
      <w:pPr>
        <w:pStyle w:val="Prrafodelista"/>
        <w:numPr>
          <w:ilvl w:val="0"/>
          <w:numId w:val="4"/>
        </w:numPr>
      </w:pPr>
      <w:r>
        <w:rPr>
          <w:b/>
        </w:rPr>
        <w:t>Sergio Perales</w:t>
      </w:r>
      <w:r w:rsidR="00085D81">
        <w:t xml:space="preserve">: Sanción de </w:t>
      </w:r>
      <w:r w:rsidR="00C57EDE">
        <w:t>dieciocho</w:t>
      </w:r>
      <w:r w:rsidR="00085D81">
        <w:t xml:space="preserve"> </w:t>
      </w:r>
      <w:bookmarkStart w:id="0" w:name="_Hlk132291858"/>
      <w:r w:rsidR="00085D81">
        <w:t>(</w:t>
      </w:r>
      <w:r w:rsidR="00C57EDE">
        <w:t>18</w:t>
      </w:r>
      <w:r w:rsidR="00085D81">
        <w:t>) fechas de suspensión</w:t>
      </w:r>
      <w:r w:rsidR="005A788F">
        <w:t>,</w:t>
      </w:r>
      <w:r w:rsidR="00085D81">
        <w:t xml:space="preserve"> las que se computaran desde el siguiente partido de su expulsión, computándose todas las jornadas a disputarse</w:t>
      </w:r>
      <w:r w:rsidR="005A788F">
        <w:t xml:space="preserve"> por el equipo</w:t>
      </w:r>
      <w:r w:rsidR="00085D81">
        <w:t xml:space="preserve">. La sanción mencionada se hace extensiva a todas las categorías </w:t>
      </w:r>
      <w:r w:rsidR="005A788F">
        <w:t>en que pudiere participar</w:t>
      </w:r>
      <w:r w:rsidR="00085D81">
        <w:t xml:space="preserve"> el jugador, es decir, la suspensión se da para todos los torneos de la ADESAC</w:t>
      </w:r>
      <w:r w:rsidR="00940338">
        <w:t>, abarcando las categorías en que el sancionado participe</w:t>
      </w:r>
      <w:r w:rsidR="00085D81">
        <w:t>.</w:t>
      </w:r>
      <w:r w:rsidR="002B4425">
        <w:t xml:space="preserve"> </w:t>
      </w:r>
      <w:bookmarkEnd w:id="0"/>
    </w:p>
    <w:p w14:paraId="104B9BCF" w14:textId="75C07988" w:rsidR="003E5994" w:rsidRDefault="003E5994" w:rsidP="002B4425">
      <w:pPr>
        <w:pStyle w:val="Prrafodelista"/>
        <w:numPr>
          <w:ilvl w:val="0"/>
          <w:numId w:val="4"/>
        </w:numPr>
      </w:pPr>
      <w:r>
        <w:rPr>
          <w:b/>
        </w:rPr>
        <w:t>Juan Acosta</w:t>
      </w:r>
      <w:r w:rsidRPr="003E5994">
        <w:t>:</w:t>
      </w:r>
      <w:r>
        <w:t xml:space="preserve"> </w:t>
      </w:r>
      <w:r w:rsidR="009F7B61">
        <w:t>Sanción</w:t>
      </w:r>
      <w:r>
        <w:t xml:space="preserve"> de cinco (5) fechas de suspensión, las que se computaran desde el siguiente partido de su expulsión, computándose todas las jornadas a disputarse por el equipo. La sanción mencionada se hace extensiva a todas las categorías en que pudiera participar el jugador, es decir, la suspensión se da para todos los torneos de la ADESAC, abarcando todas </w:t>
      </w:r>
      <w:r w:rsidR="009F7B61">
        <w:t>categorías en que el sancionado participe.</w:t>
      </w:r>
    </w:p>
    <w:p w14:paraId="74034E37" w14:textId="7B844674" w:rsidR="009F7B61" w:rsidRDefault="009F7B61" w:rsidP="009F7B61"/>
    <w:p w14:paraId="1C8FC7E1" w14:textId="52F3C067" w:rsidR="009F7B61" w:rsidRDefault="009F7B61" w:rsidP="009F7B61"/>
    <w:p w14:paraId="6C291C10" w14:textId="77777777" w:rsidR="009F7B61" w:rsidRDefault="009F7B61" w:rsidP="009F7B61"/>
    <w:p w14:paraId="0CDA9BF1" w14:textId="13A8A68E" w:rsidR="00D37F71" w:rsidRDefault="00085D81" w:rsidP="002B4425">
      <w:pPr>
        <w:pStyle w:val="Prrafodelista"/>
        <w:numPr>
          <w:ilvl w:val="0"/>
          <w:numId w:val="4"/>
        </w:numPr>
      </w:pPr>
      <w:r>
        <w:t xml:space="preserve">Aplicar </w:t>
      </w:r>
      <w:bookmarkStart w:id="1" w:name="_Hlk132291883"/>
      <w:r>
        <w:t xml:space="preserve">una multa de </w:t>
      </w:r>
      <w:r w:rsidR="009F7B61">
        <w:t xml:space="preserve">Gs. </w:t>
      </w:r>
      <w:r w:rsidR="003B4A1D">
        <w:t>600.000 (seiscientos mil)</w:t>
      </w:r>
      <w:r>
        <w:t xml:space="preserve">, </w:t>
      </w:r>
      <w:r w:rsidR="009F7B61">
        <w:t xml:space="preserve">a ambos jugadores, </w:t>
      </w:r>
      <w:r>
        <w:t xml:space="preserve">delegando la forma de </w:t>
      </w:r>
      <w:r w:rsidR="005A788F">
        <w:t>percepción de esta</w:t>
      </w:r>
      <w:r>
        <w:t xml:space="preserve"> a la Comisión Directiva.</w:t>
      </w:r>
      <w:bookmarkEnd w:id="1"/>
    </w:p>
    <w:p w14:paraId="399D323C" w14:textId="77777777" w:rsidR="00D37F71" w:rsidRDefault="00EA5732">
      <w:pPr>
        <w:spacing w:after="0" w:line="259" w:lineRule="auto"/>
        <w:ind w:left="734" w:right="0" w:firstLine="0"/>
        <w:jc w:val="left"/>
      </w:pPr>
      <w:r>
        <w:t xml:space="preserve">  </w:t>
      </w:r>
    </w:p>
    <w:p w14:paraId="5E9CFEC9" w14:textId="2A239AE0" w:rsidR="00D37F71" w:rsidRDefault="00EA5732">
      <w:pPr>
        <w:spacing w:after="2" w:line="236" w:lineRule="auto"/>
        <w:ind w:left="14" w:right="0" w:firstLine="0"/>
        <w:jc w:val="left"/>
      </w:pPr>
      <w:r>
        <w:t>Con la decisión expuesta se dio por terminado el acto firmando los señores miembros del Tri</w:t>
      </w:r>
      <w:r w:rsidR="009F7B61">
        <w:t>bunal de Disciplina</w:t>
      </w:r>
      <w:r>
        <w:t xml:space="preserve">, de la ADESAC, quedando la resolución que sigue a continuación:  </w:t>
      </w:r>
    </w:p>
    <w:p w14:paraId="34559BDB" w14:textId="5348FC7F" w:rsidR="002B4425" w:rsidRDefault="002B4425">
      <w:pPr>
        <w:spacing w:after="2" w:line="236" w:lineRule="auto"/>
        <w:ind w:left="14" w:right="0" w:firstLine="0"/>
        <w:jc w:val="left"/>
      </w:pPr>
    </w:p>
    <w:p w14:paraId="47E760CD" w14:textId="3F236D99" w:rsidR="00D37F71" w:rsidRDefault="00D37F71" w:rsidP="009F7B61">
      <w:pPr>
        <w:spacing w:after="2" w:line="259" w:lineRule="auto"/>
        <w:ind w:left="0" w:right="0" w:firstLine="0"/>
        <w:jc w:val="left"/>
      </w:pPr>
    </w:p>
    <w:p w14:paraId="12797503" w14:textId="77777777" w:rsidR="00D37F71" w:rsidRDefault="00EA5732">
      <w:pPr>
        <w:ind w:left="446" w:right="371"/>
        <w:jc w:val="center"/>
      </w:pPr>
      <w:r>
        <w:rPr>
          <w:b/>
        </w:rPr>
        <w:t xml:space="preserve">EL TRIBUNAL DE DISCIPLINA, DE LA ASOCIACIÓN DE EX ALUMNOS DEL COLEGIO SANTA CLARA RESUELVE: </w:t>
      </w:r>
      <w:r>
        <w:t xml:space="preserve"> </w:t>
      </w:r>
    </w:p>
    <w:p w14:paraId="588AB414" w14:textId="77777777" w:rsidR="00D37F71" w:rsidRDefault="00EA5732">
      <w:pPr>
        <w:spacing w:after="1" w:line="259" w:lineRule="auto"/>
        <w:ind w:left="14" w:right="0" w:firstLine="0"/>
        <w:jc w:val="left"/>
      </w:pPr>
      <w:r>
        <w:rPr>
          <w:b/>
        </w:rPr>
        <w:t xml:space="preserve"> </w:t>
      </w:r>
      <w:r>
        <w:t xml:space="preserve"> </w:t>
      </w:r>
    </w:p>
    <w:p w14:paraId="29C64925" w14:textId="5D199B91" w:rsidR="000D5696" w:rsidRDefault="00EA5732" w:rsidP="002B4425">
      <w:pPr>
        <w:pStyle w:val="Prrafodelista"/>
        <w:numPr>
          <w:ilvl w:val="0"/>
          <w:numId w:val="6"/>
        </w:numPr>
      </w:pPr>
      <w:r w:rsidRPr="002B4425">
        <w:rPr>
          <w:b/>
        </w:rPr>
        <w:t xml:space="preserve">SANCIONAR </w:t>
      </w:r>
      <w:r>
        <w:t xml:space="preserve">al jugador </w:t>
      </w:r>
      <w:r w:rsidR="009F7B61">
        <w:t>Sergio Perales</w:t>
      </w:r>
      <w:r>
        <w:t xml:space="preserve"> perteneciente a </w:t>
      </w:r>
      <w:r w:rsidR="009F7B61">
        <w:t>Los Redondos</w:t>
      </w:r>
      <w:r>
        <w:t xml:space="preserve"> con </w:t>
      </w:r>
      <w:r w:rsidR="00085D81" w:rsidRPr="00085D81">
        <w:t>(</w:t>
      </w:r>
      <w:r w:rsidR="00C57EDE">
        <w:t>18</w:t>
      </w:r>
      <w:r w:rsidR="00085D81" w:rsidRPr="00085D81">
        <w:t>) fechas de suspensión las que se computaran desde el siguiente partido de su expulsión, computándose todas las jornadas a disputarse</w:t>
      </w:r>
      <w:r w:rsidR="005A788F">
        <w:t xml:space="preserve"> por el equipo</w:t>
      </w:r>
      <w:r w:rsidR="00085D81" w:rsidRPr="00085D81">
        <w:t xml:space="preserve">. </w:t>
      </w:r>
      <w:r w:rsidR="005A788F">
        <w:t>La sanción mencionada se hace extensiva a todas las categorías en que pudiere participar el jugador, es decir, la suspensión se da para todos los torneos de la ADESAC</w:t>
      </w:r>
      <w:r w:rsidR="00940338">
        <w:t>, abarcando las categorías en que el sancionado participe</w:t>
      </w:r>
      <w:r w:rsidR="005A788F">
        <w:t>.</w:t>
      </w:r>
      <w:r w:rsidR="000D5696">
        <w:t xml:space="preserve"> </w:t>
      </w:r>
    </w:p>
    <w:p w14:paraId="3FFFBF37" w14:textId="77777777" w:rsidR="009F7B61" w:rsidRDefault="009F7B61" w:rsidP="009F7B61">
      <w:pPr>
        <w:pStyle w:val="Prrafodelista"/>
        <w:ind w:left="1454" w:firstLine="0"/>
      </w:pPr>
    </w:p>
    <w:p w14:paraId="3BF34D2B" w14:textId="1A3D6496" w:rsidR="009F7B61" w:rsidRDefault="009F7B61" w:rsidP="009F7B61">
      <w:pPr>
        <w:pStyle w:val="Prrafodelista"/>
        <w:numPr>
          <w:ilvl w:val="0"/>
          <w:numId w:val="6"/>
        </w:numPr>
      </w:pPr>
      <w:r w:rsidRPr="002B4425">
        <w:rPr>
          <w:b/>
        </w:rPr>
        <w:t xml:space="preserve">SANCIONAR </w:t>
      </w:r>
      <w:r>
        <w:t xml:space="preserve">al jugador </w:t>
      </w:r>
      <w:r>
        <w:t>Juan A. Acosta Fleitas</w:t>
      </w:r>
      <w:r>
        <w:t xml:space="preserve"> perteneciente a </w:t>
      </w:r>
      <w:r>
        <w:t>Tiburón 00</w:t>
      </w:r>
      <w:r>
        <w:t xml:space="preserve"> con </w:t>
      </w:r>
      <w:r w:rsidRPr="00085D81">
        <w:t>(</w:t>
      </w:r>
      <w:r>
        <w:t>5</w:t>
      </w:r>
      <w:r w:rsidRPr="00085D81">
        <w:t>) fechas de suspensión las que se computaran desde el siguiente partido de su expulsión, computándose todas las jornadas a disputarse</w:t>
      </w:r>
      <w:r>
        <w:t xml:space="preserve"> por el equipo</w:t>
      </w:r>
      <w:r w:rsidRPr="00085D81">
        <w:t xml:space="preserve">. </w:t>
      </w:r>
      <w:r>
        <w:t xml:space="preserve">La sanción mencionada se hace extensiva a todas las categorías en que pudiere participar el jugador, es decir, la suspensión se da para todos los torneos de la ADESAC, abarcando las categorías en que el sancionado participe. </w:t>
      </w:r>
    </w:p>
    <w:p w14:paraId="515DDA8A" w14:textId="77777777" w:rsidR="009F7B61" w:rsidRDefault="009F7B61" w:rsidP="009F7B61">
      <w:pPr>
        <w:pStyle w:val="Prrafodelista"/>
        <w:ind w:left="1454" w:firstLine="0"/>
      </w:pPr>
    </w:p>
    <w:p w14:paraId="36F0E436" w14:textId="770B3B70" w:rsidR="000D5696" w:rsidRDefault="000D5696" w:rsidP="002B4425">
      <w:pPr>
        <w:pStyle w:val="Prrafodelista"/>
        <w:numPr>
          <w:ilvl w:val="0"/>
          <w:numId w:val="6"/>
        </w:numPr>
      </w:pPr>
      <w:r>
        <w:rPr>
          <w:b/>
        </w:rPr>
        <w:t xml:space="preserve">APLICAR </w:t>
      </w:r>
      <w:r>
        <w:t xml:space="preserve">una multa de Gs. 600.000 (seiscientos mil), </w:t>
      </w:r>
      <w:r w:rsidR="009F7B61">
        <w:t xml:space="preserve">a ambos jugadores, </w:t>
      </w:r>
      <w:r>
        <w:t>delegando la forma de percepción de esta a la Comisión Directiva.</w:t>
      </w:r>
    </w:p>
    <w:p w14:paraId="27BD9B67" w14:textId="77777777" w:rsidR="009F7B61" w:rsidRDefault="009F7B61" w:rsidP="009F7B61">
      <w:pPr>
        <w:pStyle w:val="Prrafodelista"/>
      </w:pPr>
    </w:p>
    <w:p w14:paraId="04F435B9" w14:textId="77777777" w:rsidR="009F7B61" w:rsidRDefault="009F7B61" w:rsidP="009F7B61">
      <w:pPr>
        <w:pStyle w:val="Prrafodelista"/>
        <w:ind w:left="1454" w:firstLine="0"/>
      </w:pPr>
    </w:p>
    <w:p w14:paraId="1AC54601" w14:textId="66450E78" w:rsidR="003B4A1D" w:rsidRDefault="000D5696" w:rsidP="002B4425">
      <w:pPr>
        <w:pStyle w:val="Prrafodelista"/>
        <w:numPr>
          <w:ilvl w:val="0"/>
          <w:numId w:val="6"/>
        </w:numPr>
        <w:ind w:left="1094" w:hanging="10"/>
      </w:pPr>
      <w:r w:rsidRPr="00085D81">
        <w:rPr>
          <w:b/>
        </w:rPr>
        <w:t xml:space="preserve">COMUNÍQUESE </w:t>
      </w:r>
      <w:r>
        <w:t>y archívese</w:t>
      </w:r>
    </w:p>
    <w:p w14:paraId="06D262DC" w14:textId="502749E5" w:rsidR="003B4A1D" w:rsidRDefault="003B4A1D" w:rsidP="003B4A1D"/>
    <w:p w14:paraId="0E4AA3F8" w14:textId="4EF60A2C" w:rsidR="003B4A1D" w:rsidRDefault="00C57EDE" w:rsidP="003B4A1D">
      <w:pPr>
        <w:jc w:val="center"/>
      </w:pPr>
      <w:r>
        <w:t>JORGE ROMAN</w:t>
      </w:r>
    </w:p>
    <w:p w14:paraId="0C9E3D7E" w14:textId="27DBBBCA" w:rsidR="003B4A1D" w:rsidRDefault="009F7B61" w:rsidP="003B4A1D">
      <w:pPr>
        <w:jc w:val="center"/>
      </w:pPr>
      <w:r>
        <w:t>HUMBERTO OSNAGHI</w:t>
      </w:r>
    </w:p>
    <w:p w14:paraId="5D31ABD8" w14:textId="528EC115" w:rsidR="003B4A1D" w:rsidRDefault="009F7B61" w:rsidP="003B4A1D">
      <w:pPr>
        <w:jc w:val="center"/>
      </w:pPr>
      <w:r>
        <w:t>FABRICIO RUIZ</w:t>
      </w:r>
      <w:bookmarkStart w:id="2" w:name="_GoBack"/>
      <w:bookmarkEnd w:id="2"/>
    </w:p>
    <w:p w14:paraId="190B4EB3" w14:textId="77777777" w:rsidR="00D37F71" w:rsidRDefault="00EA5732">
      <w:pPr>
        <w:spacing w:after="0" w:line="259" w:lineRule="auto"/>
        <w:ind w:left="14" w:right="0" w:firstLine="0"/>
        <w:jc w:val="left"/>
      </w:pPr>
      <w:r>
        <w:t xml:space="preserve">  </w:t>
      </w:r>
    </w:p>
    <w:sectPr w:rsidR="00D37F71" w:rsidSect="00C57EDE">
      <w:headerReference w:type="even" r:id="rId7"/>
      <w:headerReference w:type="default" r:id="rId8"/>
      <w:headerReference w:type="first" r:id="rId9"/>
      <w:pgSz w:w="11906" w:h="16838" w:code="9"/>
      <w:pgMar w:top="1430" w:right="1694" w:bottom="1863" w:left="1688" w:header="708"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1CDE" w14:textId="77777777" w:rsidR="00B81D20" w:rsidRDefault="00B81D20">
      <w:pPr>
        <w:spacing w:after="0" w:line="240" w:lineRule="auto"/>
      </w:pPr>
      <w:r>
        <w:separator/>
      </w:r>
    </w:p>
  </w:endnote>
  <w:endnote w:type="continuationSeparator" w:id="0">
    <w:p w14:paraId="3F815C76" w14:textId="77777777" w:rsidR="00B81D20" w:rsidRDefault="00B8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0404E" w14:textId="77777777" w:rsidR="00B81D20" w:rsidRDefault="00B81D20">
      <w:pPr>
        <w:spacing w:after="0" w:line="240" w:lineRule="auto"/>
      </w:pPr>
      <w:r>
        <w:separator/>
      </w:r>
    </w:p>
  </w:footnote>
  <w:footnote w:type="continuationSeparator" w:id="0">
    <w:p w14:paraId="3240E2B1" w14:textId="77777777" w:rsidR="00B81D20" w:rsidRDefault="00B8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723D"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58240" behindDoc="0" locked="0" layoutInCell="1" allowOverlap="0" wp14:anchorId="1494115B" wp14:editId="0F6A86AF">
          <wp:simplePos x="0" y="0"/>
          <wp:positionH relativeFrom="page">
            <wp:posOffset>1080516</wp:posOffset>
          </wp:positionH>
          <wp:positionV relativeFrom="page">
            <wp:posOffset>449580</wp:posOffset>
          </wp:positionV>
          <wp:extent cx="627888" cy="399288"/>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59264" behindDoc="0" locked="0" layoutInCell="1" allowOverlap="0" wp14:anchorId="04BDAB03" wp14:editId="7B5657D8">
          <wp:simplePos x="0" y="0"/>
          <wp:positionH relativeFrom="page">
            <wp:posOffset>4771644</wp:posOffset>
          </wp:positionH>
          <wp:positionV relativeFrom="page">
            <wp:posOffset>525780</wp:posOffset>
          </wp:positionV>
          <wp:extent cx="1664208" cy="316992"/>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98A3"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60288" behindDoc="0" locked="0" layoutInCell="1" allowOverlap="0" wp14:anchorId="3A74FDCB" wp14:editId="35392632">
          <wp:simplePos x="0" y="0"/>
          <wp:positionH relativeFrom="page">
            <wp:posOffset>1080516</wp:posOffset>
          </wp:positionH>
          <wp:positionV relativeFrom="page">
            <wp:posOffset>449580</wp:posOffset>
          </wp:positionV>
          <wp:extent cx="627888" cy="399288"/>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61312" behindDoc="0" locked="0" layoutInCell="1" allowOverlap="0" wp14:anchorId="6C7B10A5" wp14:editId="483A8AE5">
          <wp:simplePos x="0" y="0"/>
          <wp:positionH relativeFrom="page">
            <wp:posOffset>4771644</wp:posOffset>
          </wp:positionH>
          <wp:positionV relativeFrom="page">
            <wp:posOffset>525780</wp:posOffset>
          </wp:positionV>
          <wp:extent cx="1664208" cy="316992"/>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C538"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62336" behindDoc="0" locked="0" layoutInCell="1" allowOverlap="0" wp14:anchorId="08EF3DE6" wp14:editId="5D2657B3">
          <wp:simplePos x="0" y="0"/>
          <wp:positionH relativeFrom="page">
            <wp:posOffset>1080516</wp:posOffset>
          </wp:positionH>
          <wp:positionV relativeFrom="page">
            <wp:posOffset>449580</wp:posOffset>
          </wp:positionV>
          <wp:extent cx="627888" cy="399288"/>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63360" behindDoc="0" locked="0" layoutInCell="1" allowOverlap="0" wp14:anchorId="22FF623E" wp14:editId="3A68B3CC">
          <wp:simplePos x="0" y="0"/>
          <wp:positionH relativeFrom="page">
            <wp:posOffset>4771644</wp:posOffset>
          </wp:positionH>
          <wp:positionV relativeFrom="page">
            <wp:posOffset>525780</wp:posOffset>
          </wp:positionV>
          <wp:extent cx="1664208" cy="316992"/>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1EC8"/>
    <w:multiLevelType w:val="hybridMultilevel"/>
    <w:tmpl w:val="2EA8605E"/>
    <w:lvl w:ilvl="0" w:tplc="38A45486">
      <w:start w:val="1"/>
      <w:numFmt w:val="decimal"/>
      <w:lvlText w:val="%1)"/>
      <w:lvlJc w:val="left"/>
      <w:pPr>
        <w:ind w:left="734" w:hanging="360"/>
      </w:pPr>
      <w:rPr>
        <w:rFonts w:hint="default"/>
      </w:rPr>
    </w:lvl>
    <w:lvl w:ilvl="1" w:tplc="3C0A0019" w:tentative="1">
      <w:start w:val="1"/>
      <w:numFmt w:val="lowerLetter"/>
      <w:lvlText w:val="%2."/>
      <w:lvlJc w:val="left"/>
      <w:pPr>
        <w:ind w:left="1454" w:hanging="360"/>
      </w:pPr>
    </w:lvl>
    <w:lvl w:ilvl="2" w:tplc="3C0A001B" w:tentative="1">
      <w:start w:val="1"/>
      <w:numFmt w:val="lowerRoman"/>
      <w:lvlText w:val="%3."/>
      <w:lvlJc w:val="right"/>
      <w:pPr>
        <w:ind w:left="2174" w:hanging="180"/>
      </w:pPr>
    </w:lvl>
    <w:lvl w:ilvl="3" w:tplc="3C0A000F" w:tentative="1">
      <w:start w:val="1"/>
      <w:numFmt w:val="decimal"/>
      <w:lvlText w:val="%4."/>
      <w:lvlJc w:val="left"/>
      <w:pPr>
        <w:ind w:left="2894" w:hanging="360"/>
      </w:pPr>
    </w:lvl>
    <w:lvl w:ilvl="4" w:tplc="3C0A0019" w:tentative="1">
      <w:start w:val="1"/>
      <w:numFmt w:val="lowerLetter"/>
      <w:lvlText w:val="%5."/>
      <w:lvlJc w:val="left"/>
      <w:pPr>
        <w:ind w:left="3614" w:hanging="360"/>
      </w:pPr>
    </w:lvl>
    <w:lvl w:ilvl="5" w:tplc="3C0A001B" w:tentative="1">
      <w:start w:val="1"/>
      <w:numFmt w:val="lowerRoman"/>
      <w:lvlText w:val="%6."/>
      <w:lvlJc w:val="right"/>
      <w:pPr>
        <w:ind w:left="4334" w:hanging="180"/>
      </w:pPr>
    </w:lvl>
    <w:lvl w:ilvl="6" w:tplc="3C0A000F" w:tentative="1">
      <w:start w:val="1"/>
      <w:numFmt w:val="decimal"/>
      <w:lvlText w:val="%7."/>
      <w:lvlJc w:val="left"/>
      <w:pPr>
        <w:ind w:left="5054" w:hanging="360"/>
      </w:pPr>
    </w:lvl>
    <w:lvl w:ilvl="7" w:tplc="3C0A0019" w:tentative="1">
      <w:start w:val="1"/>
      <w:numFmt w:val="lowerLetter"/>
      <w:lvlText w:val="%8."/>
      <w:lvlJc w:val="left"/>
      <w:pPr>
        <w:ind w:left="5774" w:hanging="360"/>
      </w:pPr>
    </w:lvl>
    <w:lvl w:ilvl="8" w:tplc="3C0A001B" w:tentative="1">
      <w:start w:val="1"/>
      <w:numFmt w:val="lowerRoman"/>
      <w:lvlText w:val="%9."/>
      <w:lvlJc w:val="right"/>
      <w:pPr>
        <w:ind w:left="6494" w:hanging="180"/>
      </w:pPr>
    </w:lvl>
  </w:abstractNum>
  <w:abstractNum w:abstractNumId="1" w15:restartNumberingAfterBreak="0">
    <w:nsid w:val="35512E34"/>
    <w:multiLevelType w:val="hybridMultilevel"/>
    <w:tmpl w:val="5BF8CADE"/>
    <w:lvl w:ilvl="0" w:tplc="53E84FAA">
      <w:start w:val="1"/>
      <w:numFmt w:val="decimal"/>
      <w:lvlText w:val="%1)"/>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78E12E">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6DE74">
      <w:start w:val="1"/>
      <w:numFmt w:val="lowerRoman"/>
      <w:lvlText w:val="%3"/>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CE6CC0">
      <w:start w:val="1"/>
      <w:numFmt w:val="decimal"/>
      <w:lvlText w:val="%4"/>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8695CE">
      <w:start w:val="1"/>
      <w:numFmt w:val="lowerLetter"/>
      <w:lvlText w:val="%5"/>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1E1EEC">
      <w:start w:val="1"/>
      <w:numFmt w:val="lowerRoman"/>
      <w:lvlText w:val="%6"/>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EEA608">
      <w:start w:val="1"/>
      <w:numFmt w:val="decimal"/>
      <w:lvlText w:val="%7"/>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C78AA">
      <w:start w:val="1"/>
      <w:numFmt w:val="lowerLetter"/>
      <w:lvlText w:val="%8"/>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06E1C8">
      <w:start w:val="1"/>
      <w:numFmt w:val="lowerRoman"/>
      <w:lvlText w:val="%9"/>
      <w:lvlJc w:val="left"/>
      <w:pPr>
        <w:ind w:left="6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4C23C2"/>
    <w:multiLevelType w:val="hybridMultilevel"/>
    <w:tmpl w:val="195C63BC"/>
    <w:lvl w:ilvl="0" w:tplc="BF0CB8A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577A">
      <w:start w:val="1"/>
      <w:numFmt w:val="low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A823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A588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C0FD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20E8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AFDC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22FC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6F4E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567FB4"/>
    <w:multiLevelType w:val="hybridMultilevel"/>
    <w:tmpl w:val="D910D20A"/>
    <w:lvl w:ilvl="0" w:tplc="59F0E2F4">
      <w:start w:val="1"/>
      <w:numFmt w:val="lowerLetter"/>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622D22">
      <w:start w:val="1"/>
      <w:numFmt w:val="lowerLetter"/>
      <w:lvlText w:val="%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1AF160">
      <w:start w:val="1"/>
      <w:numFmt w:val="lowerRoman"/>
      <w:lvlText w:val="%3"/>
      <w:lvlJc w:val="left"/>
      <w:pPr>
        <w:ind w:left="2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F8CA20">
      <w:start w:val="1"/>
      <w:numFmt w:val="decimal"/>
      <w:lvlText w:val="%4"/>
      <w:lvlJc w:val="left"/>
      <w:pPr>
        <w:ind w:left="2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9640DA">
      <w:start w:val="1"/>
      <w:numFmt w:val="lowerLetter"/>
      <w:lvlText w:val="%5"/>
      <w:lvlJc w:val="left"/>
      <w:pPr>
        <w:ind w:left="3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BC0774">
      <w:start w:val="1"/>
      <w:numFmt w:val="lowerRoman"/>
      <w:lvlText w:val="%6"/>
      <w:lvlJc w:val="left"/>
      <w:pPr>
        <w:ind w:left="4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3423B8">
      <w:start w:val="1"/>
      <w:numFmt w:val="decimal"/>
      <w:lvlText w:val="%7"/>
      <w:lvlJc w:val="left"/>
      <w:pPr>
        <w:ind w:left="5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44946C">
      <w:start w:val="1"/>
      <w:numFmt w:val="lowerLetter"/>
      <w:lvlText w:val="%8"/>
      <w:lvlJc w:val="left"/>
      <w:pPr>
        <w:ind w:left="5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10EA18">
      <w:start w:val="1"/>
      <w:numFmt w:val="lowerRoman"/>
      <w:lvlText w:val="%9"/>
      <w:lvlJc w:val="left"/>
      <w:pPr>
        <w:ind w:left="6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AC1A09"/>
    <w:multiLevelType w:val="hybridMultilevel"/>
    <w:tmpl w:val="11FA28DE"/>
    <w:lvl w:ilvl="0" w:tplc="4E24496C">
      <w:start w:val="1"/>
      <w:numFmt w:val="decimal"/>
      <w:lvlText w:val="%1)"/>
      <w:lvlJc w:val="left"/>
      <w:pPr>
        <w:ind w:left="1454" w:hanging="360"/>
      </w:pPr>
      <w:rPr>
        <w:rFonts w:hint="default"/>
        <w:b/>
      </w:rPr>
    </w:lvl>
    <w:lvl w:ilvl="1" w:tplc="0C0A0019" w:tentative="1">
      <w:start w:val="1"/>
      <w:numFmt w:val="lowerLetter"/>
      <w:lvlText w:val="%2."/>
      <w:lvlJc w:val="left"/>
      <w:pPr>
        <w:ind w:left="2174" w:hanging="360"/>
      </w:pPr>
    </w:lvl>
    <w:lvl w:ilvl="2" w:tplc="0C0A001B" w:tentative="1">
      <w:start w:val="1"/>
      <w:numFmt w:val="lowerRoman"/>
      <w:lvlText w:val="%3."/>
      <w:lvlJc w:val="right"/>
      <w:pPr>
        <w:ind w:left="2894" w:hanging="180"/>
      </w:pPr>
    </w:lvl>
    <w:lvl w:ilvl="3" w:tplc="0C0A000F" w:tentative="1">
      <w:start w:val="1"/>
      <w:numFmt w:val="decimal"/>
      <w:lvlText w:val="%4."/>
      <w:lvlJc w:val="left"/>
      <w:pPr>
        <w:ind w:left="3614" w:hanging="360"/>
      </w:pPr>
    </w:lvl>
    <w:lvl w:ilvl="4" w:tplc="0C0A0019" w:tentative="1">
      <w:start w:val="1"/>
      <w:numFmt w:val="lowerLetter"/>
      <w:lvlText w:val="%5."/>
      <w:lvlJc w:val="left"/>
      <w:pPr>
        <w:ind w:left="4334" w:hanging="360"/>
      </w:pPr>
    </w:lvl>
    <w:lvl w:ilvl="5" w:tplc="0C0A001B" w:tentative="1">
      <w:start w:val="1"/>
      <w:numFmt w:val="lowerRoman"/>
      <w:lvlText w:val="%6."/>
      <w:lvlJc w:val="right"/>
      <w:pPr>
        <w:ind w:left="5054" w:hanging="180"/>
      </w:pPr>
    </w:lvl>
    <w:lvl w:ilvl="6" w:tplc="0C0A000F" w:tentative="1">
      <w:start w:val="1"/>
      <w:numFmt w:val="decimal"/>
      <w:lvlText w:val="%7."/>
      <w:lvlJc w:val="left"/>
      <w:pPr>
        <w:ind w:left="5774" w:hanging="360"/>
      </w:pPr>
    </w:lvl>
    <w:lvl w:ilvl="7" w:tplc="0C0A0019" w:tentative="1">
      <w:start w:val="1"/>
      <w:numFmt w:val="lowerLetter"/>
      <w:lvlText w:val="%8."/>
      <w:lvlJc w:val="left"/>
      <w:pPr>
        <w:ind w:left="6494" w:hanging="360"/>
      </w:pPr>
    </w:lvl>
    <w:lvl w:ilvl="8" w:tplc="0C0A001B" w:tentative="1">
      <w:start w:val="1"/>
      <w:numFmt w:val="lowerRoman"/>
      <w:lvlText w:val="%9."/>
      <w:lvlJc w:val="right"/>
      <w:pPr>
        <w:ind w:left="7214" w:hanging="180"/>
      </w:pPr>
    </w:lvl>
  </w:abstractNum>
  <w:abstractNum w:abstractNumId="5" w15:restartNumberingAfterBreak="0">
    <w:nsid w:val="75191DC7"/>
    <w:multiLevelType w:val="hybridMultilevel"/>
    <w:tmpl w:val="1C847CFC"/>
    <w:lvl w:ilvl="0" w:tplc="753011D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002D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EA64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36163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069D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EC44A">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EFF8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C0B8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82B0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71"/>
    <w:rsid w:val="00011C8C"/>
    <w:rsid w:val="00085D81"/>
    <w:rsid w:val="000D5696"/>
    <w:rsid w:val="00254937"/>
    <w:rsid w:val="002A12C1"/>
    <w:rsid w:val="002B4425"/>
    <w:rsid w:val="0032202A"/>
    <w:rsid w:val="003B4A1D"/>
    <w:rsid w:val="003E5994"/>
    <w:rsid w:val="0042392B"/>
    <w:rsid w:val="00562495"/>
    <w:rsid w:val="005765EB"/>
    <w:rsid w:val="005A788F"/>
    <w:rsid w:val="00794385"/>
    <w:rsid w:val="007A12F8"/>
    <w:rsid w:val="009254C9"/>
    <w:rsid w:val="00940338"/>
    <w:rsid w:val="009F7B61"/>
    <w:rsid w:val="00AE17A7"/>
    <w:rsid w:val="00B116C2"/>
    <w:rsid w:val="00B67E1E"/>
    <w:rsid w:val="00B81D20"/>
    <w:rsid w:val="00C57EDE"/>
    <w:rsid w:val="00CF06C5"/>
    <w:rsid w:val="00D37F71"/>
    <w:rsid w:val="00EA5732"/>
    <w:rsid w:val="00FC0D6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5A50"/>
  <w15:docId w15:val="{BCE67B2D-B12E-4D8E-BDCE-79107049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10" w:right="1"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7317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Prosegur</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cp:lastModifiedBy>Usuario de Windows</cp:lastModifiedBy>
  <cp:revision>2</cp:revision>
  <dcterms:created xsi:type="dcterms:W3CDTF">2025-05-22T11:43:00Z</dcterms:created>
  <dcterms:modified xsi:type="dcterms:W3CDTF">2025-05-22T11:43:00Z</dcterms:modified>
</cp:coreProperties>
</file>